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D17C" w14:textId="77777777" w:rsidR="006C3372" w:rsidRDefault="006C3372" w:rsidP="000C3FDE">
      <w:pPr>
        <w:pStyle w:val="NormalWeb"/>
        <w:rPr>
          <w:rStyle w:val="Strong"/>
          <w:rFonts w:eastAsiaTheme="majorEastAsia"/>
        </w:rPr>
      </w:pPr>
    </w:p>
    <w:p w14:paraId="77367759" w14:textId="4F0139E2" w:rsidR="000C3FDE" w:rsidRDefault="000C3FDE" w:rsidP="006C3372">
      <w:pPr>
        <w:pStyle w:val="NormalWeb"/>
        <w:jc w:val="center"/>
      </w:pPr>
      <w:r>
        <w:rPr>
          <w:rStyle w:val="Strong"/>
          <w:rFonts w:eastAsiaTheme="majorEastAsia"/>
        </w:rPr>
        <w:t>AUGUST 12, 2025 – STATE REENTRY COUNCIL COLLABORATIVE MINUTES DRAFT</w:t>
      </w:r>
    </w:p>
    <w:p w14:paraId="7F8D7FEC" w14:textId="77777777" w:rsidR="000C3FDE" w:rsidRDefault="000C3FDE" w:rsidP="000C3FDE">
      <w:pPr>
        <w:pStyle w:val="NormalWeb"/>
      </w:pPr>
      <w:r>
        <w:rPr>
          <w:rStyle w:val="Strong"/>
          <w:rFonts w:eastAsiaTheme="majorEastAsia"/>
        </w:rPr>
        <w:t>Call to Order and Welcome</w:t>
      </w:r>
      <w:r>
        <w:br/>
      </w:r>
      <w:r w:rsidRPr="000C3FDE">
        <w:rPr>
          <w:b/>
          <w:bCs/>
        </w:rPr>
        <w:t>Leslie Cooley Dismukes, Secretary of NCDAC</w:t>
      </w:r>
      <w:r>
        <w:t xml:space="preserve">, convened the meeting by extending a warm welcome to all members and expressing sincere appreciation for their ongoing engagement and dedication to reentry initiatives. Secretary Dismukes emphasized the strategic importance of creating a full-time position dedicated exclusively to housing initiatives, noting that stable housing is a critical determinant of successful community reintegration. This position will oversee comprehensive efforts, including the development of affordable housing, expansion of transitional housing options, and the cultivation of strategic partnerships with developers to increase housing availability. Secretary Dismukes also highlighted the </w:t>
      </w:r>
      <w:r>
        <w:rPr>
          <w:rStyle w:val="Emphasis"/>
          <w:rFonts w:eastAsiaTheme="majorEastAsia"/>
        </w:rPr>
        <w:t>Council of State Governments</w:t>
      </w:r>
      <w:r>
        <w:t xml:space="preserve"> report, emphasizing its alignment with the department’s current strategic objectives. Key priorities for the new position include enhancing collaboration with builders, recruiting additional transitional housing providers, and expanding support services for individuals returning to the community. These initiatives reflect NCDAC’s commitment to addressing housing as a cornerstone of reentry success and community stability.</w:t>
      </w:r>
    </w:p>
    <w:p w14:paraId="727184D5" w14:textId="77777777" w:rsidR="000C3FDE" w:rsidRDefault="000C3FDE" w:rsidP="000C3FDE">
      <w:pPr>
        <w:pStyle w:val="NormalWeb"/>
      </w:pPr>
      <w:r>
        <w:rPr>
          <w:rStyle w:val="Strong"/>
          <w:rFonts w:eastAsiaTheme="majorEastAsia"/>
        </w:rPr>
        <w:t>Reentry Simulation and Reentry 2030 Initiative Updates</w:t>
      </w:r>
      <w:r>
        <w:br/>
      </w:r>
      <w:r w:rsidRPr="000C3FDE">
        <w:rPr>
          <w:b/>
          <w:bCs/>
        </w:rPr>
        <w:t>George Pettigrew, NCDAC Deputy Secretary of Rehabilitation and Reentry</w:t>
      </w:r>
      <w:r>
        <w:t>, provided updates on the Reentry Simulation program, which has received highly positive feedback from leadership. Multiple departments have expressed interest in hosting future simulations, creating opportunities for cross-agency collaboration. Strategic partnerships were highlighted with the Department of Rehabilitation Services, Department of Military &amp; Veterans Affairs, and Department of Administration. These efforts have increased awareness of the challenges faced by returning citizens and fostered meaningful stakeholder engagement.</w:t>
      </w:r>
    </w:p>
    <w:p w14:paraId="0801C237" w14:textId="77777777" w:rsidR="000C3FDE" w:rsidRDefault="000C3FDE" w:rsidP="000C3FDE">
      <w:pPr>
        <w:pStyle w:val="NormalWeb"/>
      </w:pPr>
      <w:r>
        <w:t xml:space="preserve">Deputy Secretary Pettigrew also provided an update on the </w:t>
      </w:r>
      <w:r>
        <w:rPr>
          <w:rStyle w:val="Emphasis"/>
          <w:rFonts w:eastAsiaTheme="majorEastAsia"/>
        </w:rPr>
        <w:t>Reentry 2030 Initiative</w:t>
      </w:r>
      <w:r>
        <w:t>, noting the next Joint Reentry Council (JRC) meeting is scheduled for September 11 at All Saints Chapel in Raleigh. The meeting will feature the launch of a public-facing data dashboard to track reentry strategies and outcomes. FY2024-25 data is being finalized to ensure accurate, transparent, and measurable reporting of progress toward Reentry 2030 objectives.</w:t>
      </w:r>
    </w:p>
    <w:p w14:paraId="46845B92" w14:textId="77777777" w:rsidR="000C3FDE" w:rsidRDefault="000C3FDE" w:rsidP="000C3FDE">
      <w:pPr>
        <w:pStyle w:val="NormalWeb"/>
      </w:pPr>
      <w:r>
        <w:rPr>
          <w:rStyle w:val="Strong"/>
          <w:rFonts w:eastAsiaTheme="majorEastAsia"/>
        </w:rPr>
        <w:t>Work Release Expansion</w:t>
      </w:r>
      <w:r>
        <w:br/>
        <w:t>Deputy Secretary Pettigrew discussed the work release expansion, highlighting a 23% increase in participation following a recent executive order, with a long-term target of 56% by 2030. Collaboration with the N.C. Department of Commerce was identified as essential to achieving workforce readiness goals and supporting broader reentry objectives. Emphasis was placed on aligning subcommittee efforts with state-level strategies, reinforcing the SRCC’s role as a collective, system-wide initiative driving meaningful reforms to improve outcomes for returning citizens.</w:t>
      </w:r>
    </w:p>
    <w:p w14:paraId="3E34CE84" w14:textId="77777777" w:rsidR="006C3372" w:rsidRDefault="006C3372" w:rsidP="000C3FDE">
      <w:pPr>
        <w:pStyle w:val="NormalWeb"/>
        <w:rPr>
          <w:rStyle w:val="Strong"/>
          <w:rFonts w:eastAsiaTheme="majorEastAsia"/>
        </w:rPr>
      </w:pPr>
    </w:p>
    <w:p w14:paraId="5520E547" w14:textId="77777777" w:rsidR="006C3372" w:rsidRDefault="006C3372" w:rsidP="000C3FDE">
      <w:pPr>
        <w:pStyle w:val="NormalWeb"/>
        <w:rPr>
          <w:rStyle w:val="Strong"/>
          <w:rFonts w:eastAsiaTheme="majorEastAsia"/>
        </w:rPr>
      </w:pPr>
    </w:p>
    <w:p w14:paraId="5EB9D497" w14:textId="0AE382E3" w:rsidR="000C3FDE" w:rsidRDefault="000C3FDE" w:rsidP="000C3FDE">
      <w:pPr>
        <w:pStyle w:val="NormalWeb"/>
      </w:pPr>
      <w:r>
        <w:rPr>
          <w:rStyle w:val="Strong"/>
          <w:rFonts w:eastAsiaTheme="majorEastAsia"/>
        </w:rPr>
        <w:t>NC Jobs Exploration &amp; Transition (NCJET) Program</w:t>
      </w:r>
      <w:r>
        <w:br/>
      </w:r>
      <w:r w:rsidRPr="000C3FDE">
        <w:rPr>
          <w:b/>
          <w:bCs/>
        </w:rPr>
        <w:t>Tim Griffith, Correction Enterprises Senior Evidence Advisor, and Torrey Leach, Correction Enterprises Workforce Development Manager</w:t>
      </w:r>
      <w:r w:rsidRPr="000C3FDE">
        <w:t xml:space="preserve">, </w:t>
      </w:r>
      <w:r>
        <w:t>presented on the NC Jobs Exploration &amp; Transition (NCJET) program. NCJET is designed to connect incarcerated individuals with employment opportunities prior to release and integrates with the NCWorks Online system while maintaining necessary security protocols. The program provides tools for resume creation, job searching, career exploration, access to “Second Chance Employers,” and skills and values assessments for employment alignment.</w:t>
      </w:r>
    </w:p>
    <w:p w14:paraId="1A1D9BEB" w14:textId="77777777" w:rsidR="000C3FDE" w:rsidRDefault="000C3FDE" w:rsidP="000C3FDE">
      <w:pPr>
        <w:pStyle w:val="NormalWeb"/>
      </w:pPr>
      <w:r>
        <w:t xml:space="preserve">Piloted at the Correction Enterprises Tag Plant in Raleigh, NCJET has already facilitated successful post-release job placements. Correction Enterprises employs approximately 1,300 incarcerated individuals across multiple industries and provides training in soft skills, financial literacy, and certifications such as OSHA-10, CDL, and apprenticeships. Expansion plans include installing NCJET kiosks in 24 facilities statewide by November and strengthening partnerships with workforce development boards to ensure seamless transitions to NCWorks. Feedback from participants and employers highlighted increased confidence and reduced anxiety, while discussions addressed challenges related to job timing, certification requirements, and expansion of </w:t>
      </w:r>
      <w:proofErr w:type="gramStart"/>
      <w:r>
        <w:t>second-chance</w:t>
      </w:r>
      <w:proofErr w:type="gramEnd"/>
      <w:r>
        <w:t xml:space="preserve"> hiring networks. Next steps include statewide access expansion, dashboard launch, and enhanced post-release follow-up to support employment continuity.</w:t>
      </w:r>
    </w:p>
    <w:p w14:paraId="7CF351E5" w14:textId="77777777" w:rsidR="000C3FDE" w:rsidRDefault="000C3FDE" w:rsidP="000C3FDE">
      <w:pPr>
        <w:pStyle w:val="NormalWeb"/>
      </w:pPr>
      <w:r>
        <w:rPr>
          <w:rStyle w:val="Strong"/>
          <w:rFonts w:eastAsiaTheme="majorEastAsia"/>
        </w:rPr>
        <w:t>Division of Workforce Solutions Overview</w:t>
      </w:r>
      <w:r>
        <w:br/>
      </w:r>
      <w:r w:rsidRPr="000C3FDE">
        <w:rPr>
          <w:b/>
          <w:bCs/>
        </w:rPr>
        <w:t>Eric Haddock, State Reentry Coordinator, N.C. Department of Commerce</w:t>
      </w:r>
      <w:r>
        <w:t>, provided an overview of the Division of Workforce Solutions (DWS), highlighting its mission to connect talent with employment opportunities. Mr. Haddock detailed the division’s infrastructure, including a $130 million annual budget, approximately 450 staff, 20 local workforce development boards, and over 80 NCWorks career centers. DWS administers federal workforce programs, including WIOA, Veterans initiatives, and Trade Adjustment Assistance. Services include career assessments, résumé and cover letter preparation, interview coaching, labor market analysis, and specialized support for individuals with criminal records. Employer incentives, including the Work Opportunity Tax Credit and Federal Bonding Program, were reviewed as tools to facilitate hiring for individuals facing employment barriers.</w:t>
      </w:r>
    </w:p>
    <w:p w14:paraId="1D99C1FE" w14:textId="77777777" w:rsidR="000C3FDE" w:rsidRDefault="000C3FDE" w:rsidP="000C3FDE">
      <w:pPr>
        <w:pStyle w:val="NormalWeb"/>
      </w:pPr>
      <w:r>
        <w:rPr>
          <w:rStyle w:val="Strong"/>
          <w:rFonts w:eastAsiaTheme="majorEastAsia"/>
        </w:rPr>
        <w:t>Public Engagement and Closing Remarks</w:t>
      </w:r>
      <w:r>
        <w:br/>
      </w:r>
      <w:r w:rsidRPr="000C3FDE">
        <w:rPr>
          <w:b/>
          <w:bCs/>
        </w:rPr>
        <w:t>Lateisha Thrash, Director of Reentry Services, NCDAC Division of Rehabilitation and Reentry</w:t>
      </w:r>
      <w:r>
        <w:t>, facilitated a public question-and-answer session, allowing attendees to address program logistics, eligibility, funding, referral processes, transitional housing integration, employment support, and peer mentorship opportunities. All questions were addressed thoroughly to ensure clarity and understanding.</w:t>
      </w:r>
    </w:p>
    <w:p w14:paraId="2EB3F43B" w14:textId="77777777" w:rsidR="000C3FDE" w:rsidRDefault="000C3FDE" w:rsidP="000C3FDE">
      <w:pPr>
        <w:pStyle w:val="NormalWeb"/>
      </w:pPr>
      <w:r>
        <w:t xml:space="preserve">The meeting concluded with a focus on the importance of collaboration, innovation, and continued engagement with community partners to advance reentry initiatives. Stakeholder and participant feedback was highly positive, highlighting the programs’ effectiveness and measurable impact on individuals returning to the community. Notable outcomes included </w:t>
      </w:r>
      <w:r>
        <w:lastRenderedPageBreak/>
        <w:t>reductions in recidivism, improved decision-making, strengthened critical thinking, and more constructive behavioral patterns. Facilitators recognized the contributions of staff, partners, and presenters, sharing success stories that demonstrated the collective impact of reentry programs.</w:t>
      </w:r>
    </w:p>
    <w:p w14:paraId="48AD55CC" w14:textId="77777777" w:rsidR="000C3FDE" w:rsidRDefault="000C3FDE" w:rsidP="000C3FDE">
      <w:pPr>
        <w:pStyle w:val="NormalWeb"/>
      </w:pPr>
      <w:r>
        <w:t>Leadership extended sincere appreciation to all attendees for their active participation and commitment to enhancing reentry outcomes, after which the meeting was formally adjourned.</w:t>
      </w:r>
    </w:p>
    <w:p w14:paraId="6680B6F0" w14:textId="77777777" w:rsidR="000C3FDE" w:rsidRDefault="000C3FDE"/>
    <w:sectPr w:rsidR="000C3F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1F13" w14:textId="77777777" w:rsidR="000F0465" w:rsidRDefault="000F0465" w:rsidP="006C3372">
      <w:pPr>
        <w:spacing w:after="0" w:line="240" w:lineRule="auto"/>
      </w:pPr>
      <w:r>
        <w:separator/>
      </w:r>
    </w:p>
  </w:endnote>
  <w:endnote w:type="continuationSeparator" w:id="0">
    <w:p w14:paraId="50C0F379" w14:textId="77777777" w:rsidR="000F0465" w:rsidRDefault="000F0465" w:rsidP="006C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9E17" w14:textId="77777777" w:rsidR="006C3372" w:rsidRDefault="006C3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9EAE" w14:textId="77777777" w:rsidR="006C3372" w:rsidRDefault="006C3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87B9" w14:textId="77777777" w:rsidR="006C3372" w:rsidRDefault="006C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DCB3" w14:textId="77777777" w:rsidR="000F0465" w:rsidRDefault="000F0465" w:rsidP="006C3372">
      <w:pPr>
        <w:spacing w:after="0" w:line="240" w:lineRule="auto"/>
      </w:pPr>
      <w:r>
        <w:separator/>
      </w:r>
    </w:p>
  </w:footnote>
  <w:footnote w:type="continuationSeparator" w:id="0">
    <w:p w14:paraId="1138155D" w14:textId="77777777" w:rsidR="000F0465" w:rsidRDefault="000F0465" w:rsidP="006C3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8892" w14:textId="77777777" w:rsidR="006C3372" w:rsidRDefault="006C3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F27D" w14:textId="24DB0050" w:rsidR="006C3372" w:rsidRDefault="006C3372" w:rsidP="006C3372">
    <w:pPr>
      <w:pStyle w:val="Header"/>
    </w:pPr>
    <w:r w:rsidRPr="006C3372">
      <w:rPr>
        <w:noProof/>
      </w:rPr>
      <w:drawing>
        <wp:inline distT="0" distB="0" distL="0" distR="0" wp14:anchorId="1D836986" wp14:editId="1F50E414">
          <wp:extent cx="1932915" cy="719455"/>
          <wp:effectExtent l="0" t="0" r="0" b="4445"/>
          <wp:docPr id="104448114"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8114" name="Picture 2"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549" cy="723041"/>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05397AFA" wp14:editId="46F60AFD">
          <wp:extent cx="1929384" cy="677099"/>
          <wp:effectExtent l="0" t="0" r="0" b="8890"/>
          <wp:docPr id="1722844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384" cy="67709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9128" w14:textId="77777777" w:rsidR="006C3372" w:rsidRDefault="006C3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DE"/>
    <w:rsid w:val="00072958"/>
    <w:rsid w:val="000C3FDE"/>
    <w:rsid w:val="000F0465"/>
    <w:rsid w:val="002547A7"/>
    <w:rsid w:val="006C3372"/>
    <w:rsid w:val="00CD0C38"/>
    <w:rsid w:val="00DF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7A0F7"/>
  <w15:chartTrackingRefBased/>
  <w15:docId w15:val="{4AEE79D5-F69D-4715-8643-34E60E22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FDE"/>
    <w:rPr>
      <w:rFonts w:eastAsiaTheme="majorEastAsia" w:cstheme="majorBidi"/>
      <w:color w:val="272727" w:themeColor="text1" w:themeTint="D8"/>
    </w:rPr>
  </w:style>
  <w:style w:type="paragraph" w:styleId="Title">
    <w:name w:val="Title"/>
    <w:basedOn w:val="Normal"/>
    <w:next w:val="Normal"/>
    <w:link w:val="TitleChar"/>
    <w:uiPriority w:val="10"/>
    <w:qFormat/>
    <w:rsid w:val="000C3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FDE"/>
    <w:pPr>
      <w:spacing w:before="160"/>
      <w:jc w:val="center"/>
    </w:pPr>
    <w:rPr>
      <w:i/>
      <w:iCs/>
      <w:color w:val="404040" w:themeColor="text1" w:themeTint="BF"/>
    </w:rPr>
  </w:style>
  <w:style w:type="character" w:customStyle="1" w:styleId="QuoteChar">
    <w:name w:val="Quote Char"/>
    <w:basedOn w:val="DefaultParagraphFont"/>
    <w:link w:val="Quote"/>
    <w:uiPriority w:val="29"/>
    <w:rsid w:val="000C3FDE"/>
    <w:rPr>
      <w:i/>
      <w:iCs/>
      <w:color w:val="404040" w:themeColor="text1" w:themeTint="BF"/>
    </w:rPr>
  </w:style>
  <w:style w:type="paragraph" w:styleId="ListParagraph">
    <w:name w:val="List Paragraph"/>
    <w:basedOn w:val="Normal"/>
    <w:uiPriority w:val="34"/>
    <w:qFormat/>
    <w:rsid w:val="000C3FDE"/>
    <w:pPr>
      <w:ind w:left="720"/>
      <w:contextualSpacing/>
    </w:pPr>
  </w:style>
  <w:style w:type="character" w:styleId="IntenseEmphasis">
    <w:name w:val="Intense Emphasis"/>
    <w:basedOn w:val="DefaultParagraphFont"/>
    <w:uiPriority w:val="21"/>
    <w:qFormat/>
    <w:rsid w:val="000C3FDE"/>
    <w:rPr>
      <w:i/>
      <w:iCs/>
      <w:color w:val="0F4761" w:themeColor="accent1" w:themeShade="BF"/>
    </w:rPr>
  </w:style>
  <w:style w:type="paragraph" w:styleId="IntenseQuote">
    <w:name w:val="Intense Quote"/>
    <w:basedOn w:val="Normal"/>
    <w:next w:val="Normal"/>
    <w:link w:val="IntenseQuoteChar"/>
    <w:uiPriority w:val="30"/>
    <w:qFormat/>
    <w:rsid w:val="000C3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FDE"/>
    <w:rPr>
      <w:i/>
      <w:iCs/>
      <w:color w:val="0F4761" w:themeColor="accent1" w:themeShade="BF"/>
    </w:rPr>
  </w:style>
  <w:style w:type="character" w:styleId="IntenseReference">
    <w:name w:val="Intense Reference"/>
    <w:basedOn w:val="DefaultParagraphFont"/>
    <w:uiPriority w:val="32"/>
    <w:qFormat/>
    <w:rsid w:val="000C3FDE"/>
    <w:rPr>
      <w:b/>
      <w:bCs/>
      <w:smallCaps/>
      <w:color w:val="0F4761" w:themeColor="accent1" w:themeShade="BF"/>
      <w:spacing w:val="5"/>
    </w:rPr>
  </w:style>
  <w:style w:type="paragraph" w:styleId="NormalWeb">
    <w:name w:val="Normal (Web)"/>
    <w:basedOn w:val="Normal"/>
    <w:uiPriority w:val="99"/>
    <w:semiHidden/>
    <w:unhideWhenUsed/>
    <w:rsid w:val="000C3FD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C3FDE"/>
    <w:rPr>
      <w:b/>
      <w:bCs/>
    </w:rPr>
  </w:style>
  <w:style w:type="character" w:styleId="Emphasis">
    <w:name w:val="Emphasis"/>
    <w:basedOn w:val="DefaultParagraphFont"/>
    <w:uiPriority w:val="20"/>
    <w:qFormat/>
    <w:rsid w:val="000C3FDE"/>
    <w:rPr>
      <w:i/>
      <w:iCs/>
    </w:rPr>
  </w:style>
  <w:style w:type="paragraph" w:styleId="Header">
    <w:name w:val="header"/>
    <w:basedOn w:val="Normal"/>
    <w:link w:val="HeaderChar"/>
    <w:uiPriority w:val="99"/>
    <w:unhideWhenUsed/>
    <w:rsid w:val="006C3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372"/>
  </w:style>
  <w:style w:type="paragraph" w:styleId="Footer">
    <w:name w:val="footer"/>
    <w:basedOn w:val="Normal"/>
    <w:link w:val="FooterChar"/>
    <w:uiPriority w:val="99"/>
    <w:unhideWhenUsed/>
    <w:rsid w:val="006C3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23">
      <w:bodyDiv w:val="1"/>
      <w:marLeft w:val="0"/>
      <w:marRight w:val="0"/>
      <w:marTop w:val="0"/>
      <w:marBottom w:val="0"/>
      <w:divBdr>
        <w:top w:val="none" w:sz="0" w:space="0" w:color="auto"/>
        <w:left w:val="none" w:sz="0" w:space="0" w:color="auto"/>
        <w:bottom w:val="none" w:sz="0" w:space="0" w:color="auto"/>
        <w:right w:val="none" w:sz="0" w:space="0" w:color="auto"/>
      </w:divBdr>
    </w:div>
    <w:div w:id="64955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853</Words>
  <Characters>5847</Characters>
  <Application>Microsoft Office Word</Application>
  <DocSecurity>4</DocSecurity>
  <Lines>48</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Buckner, Guy A</dc:creator>
  <cp:keywords/>
  <dc:description/>
  <cp:lastModifiedBy>Higgins, Jerry</cp:lastModifiedBy>
  <cp:revision>2</cp:revision>
  <dcterms:created xsi:type="dcterms:W3CDTF">2025-09-25T14:41:00Z</dcterms:created>
  <dcterms:modified xsi:type="dcterms:W3CDTF">2025-09-25T14:41:00Z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5581d732-5e67-4617-b13b-24934907331f</vt:lpwstr>
  </property>
</Properties>
</file>