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ase"/>
      </w:pPr>
    </w:p>
    <w:p>
      <w:pPr>
        <w:pStyle w:val="Chapter"/>
      </w:pPr>
      <w:r>
        <w:rPr>
          <w:rtl w:val="0"/>
        </w:rPr>
        <w:t xml:space="preserve">TITLE 14B </w:t>
      </w:r>
      <w:r>
        <w:rPr>
          <w:rtl w:val="0"/>
        </w:rPr>
        <w:t xml:space="preserve">– </w:t>
      </w:r>
      <w:r>
        <w:rPr>
          <w:rtl w:val="0"/>
        </w:rPr>
        <w:t>DEPARTMENT OF PUBLIC SAFETY</w:t>
      </w:r>
    </w:p>
    <w:p>
      <w:pPr>
        <w:pStyle w:val="Base"/>
      </w:pPr>
    </w:p>
    <w:p>
      <w:pPr>
        <w:pStyle w:val="Paragraph"/>
        <w:rPr>
          <w:i w:val="1"/>
          <w:iCs w:val="1"/>
        </w:rPr>
      </w:pPr>
      <w:r>
        <w:rPr>
          <w:b w:val="1"/>
          <w:bCs w:val="1"/>
          <w:i w:val="1"/>
          <w:iCs w:val="1"/>
          <w:rtl w:val="0"/>
          <w:lang w:val="en-US"/>
        </w:rPr>
        <w:t>Notice</w:t>
      </w:r>
      <w:r>
        <w:rPr>
          <w:i w:val="1"/>
          <w:iCs w:val="1"/>
          <w:rtl w:val="0"/>
          <w:lang w:val="en-US"/>
        </w:rPr>
        <w:t xml:space="preserve"> is hereby given in accordance with G.S. 150B-21.2 that the Alarm Systems Licensing Board intends to amend the rule cited as 14B NCAC 17 .0204.</w:t>
      </w:r>
    </w:p>
    <w:p>
      <w:pPr>
        <w:pStyle w:val="Base"/>
      </w:pPr>
    </w:p>
    <w:p>
      <w:pPr>
        <w:pStyle w:val="Paragraph"/>
        <w:rPr>
          <w:i w:val="1"/>
          <w:iCs w:val="1"/>
        </w:rPr>
      </w:pPr>
      <w:r>
        <w:rPr>
          <w:b w:val="1"/>
          <w:bCs w:val="1"/>
          <w:rtl w:val="0"/>
          <w:lang w:val="en-US"/>
        </w:rPr>
        <w:t xml:space="preserve">Link to agency website pursuant to G.S. 150B-19.1(c):  </w:t>
      </w:r>
      <w:r>
        <w:rPr>
          <w:i w:val="1"/>
          <w:iCs w:val="1"/>
          <w:rtl w:val="0"/>
          <w:lang w:val="en-US"/>
        </w:rPr>
        <w:t>https://www.ncdps.gov/DPS-Services/Permits-Licenses/Alarm-System-Licensing-Board</w:t>
      </w:r>
    </w:p>
    <w:p>
      <w:pPr>
        <w:pStyle w:val="Paragraph"/>
        <w:rPr>
          <w:b w:val="1"/>
          <w:bCs w:val="1"/>
        </w:rPr>
      </w:pPr>
    </w:p>
    <w:p>
      <w:pPr>
        <w:pStyle w:val="Paragraph"/>
        <w:rPr>
          <w:i w:val="1"/>
          <w:iCs w:val="1"/>
        </w:rPr>
      </w:pPr>
      <w:r>
        <w:rPr>
          <w:b w:val="1"/>
          <w:bCs w:val="1"/>
          <w:rtl w:val="0"/>
          <w:lang w:val="en-US"/>
        </w:rPr>
        <w:t xml:space="preserve">Proposed Effective Date: </w:t>
      </w:r>
      <w:r>
        <w:rPr>
          <w:i w:val="1"/>
          <w:iCs w:val="1"/>
          <w:rtl w:val="0"/>
          <w:lang w:val="en-US"/>
        </w:rPr>
        <w:t>March 1, 2018</w:t>
      </w:r>
    </w:p>
    <w:p>
      <w:pPr>
        <w:pStyle w:val="Base"/>
      </w:pPr>
    </w:p>
    <w:p>
      <w:pPr>
        <w:pStyle w:val="Paragraph"/>
      </w:pPr>
      <w:r>
        <w:rPr>
          <w:b w:val="1"/>
          <w:bCs w:val="1"/>
          <w:rtl w:val="0"/>
          <w:lang w:val="en-US"/>
        </w:rPr>
        <w:t>Public Hearing</w:t>
      </w:r>
      <w:r>
        <w:rPr>
          <w:rtl w:val="0"/>
        </w:rPr>
        <w:t>:</w:t>
      </w:r>
    </w:p>
    <w:p>
      <w:pPr>
        <w:pStyle w:val="Paragraph"/>
        <w:rPr>
          <w:i w:val="1"/>
          <w:iCs w:val="1"/>
        </w:rPr>
      </w:pPr>
      <w:r>
        <w:rPr>
          <w:b w:val="1"/>
          <w:bCs w:val="1"/>
          <w:rtl w:val="0"/>
          <w:lang w:val="en-US"/>
        </w:rPr>
        <w:t xml:space="preserve">Date:  </w:t>
      </w:r>
      <w:r>
        <w:rPr>
          <w:i w:val="1"/>
          <w:iCs w:val="1"/>
          <w:rtl w:val="0"/>
          <w:lang w:val="en-US"/>
        </w:rPr>
        <w:t>November 21, 2017</w:t>
      </w:r>
    </w:p>
    <w:p>
      <w:pPr>
        <w:pStyle w:val="Paragraph"/>
        <w:rPr>
          <w:i w:val="1"/>
          <w:iCs w:val="1"/>
        </w:rPr>
      </w:pPr>
      <w:r>
        <w:rPr>
          <w:b w:val="1"/>
          <w:bCs w:val="1"/>
          <w:rtl w:val="0"/>
          <w:lang w:val="en-US"/>
        </w:rPr>
        <w:t xml:space="preserve">Time:  </w:t>
      </w:r>
      <w:r>
        <w:rPr>
          <w:i w:val="1"/>
          <w:iCs w:val="1"/>
          <w:rtl w:val="0"/>
          <w:lang w:val="en-US"/>
        </w:rPr>
        <w:t>10:00 a.m.</w:t>
      </w:r>
    </w:p>
    <w:p>
      <w:pPr>
        <w:pStyle w:val="Paragraph"/>
        <w:rPr>
          <w:i w:val="1"/>
          <w:iCs w:val="1"/>
        </w:rPr>
      </w:pPr>
      <w:r>
        <w:rPr>
          <w:b w:val="1"/>
          <w:bCs w:val="1"/>
          <w:rtl w:val="0"/>
          <w:lang w:val="en-US"/>
        </w:rPr>
        <w:t xml:space="preserve">Location:  </w:t>
      </w:r>
      <w:r>
        <w:rPr>
          <w:i w:val="1"/>
          <w:iCs w:val="1"/>
          <w:rtl w:val="0"/>
          <w:lang w:val="en-US"/>
        </w:rPr>
        <w:t>Bailey and Dixon Law Firm, 434 Fayetteville Street, Suite 2500, Raleigh, NC 27601</w:t>
      </w:r>
    </w:p>
    <w:p>
      <w:pPr>
        <w:pStyle w:val="Base"/>
      </w:pPr>
    </w:p>
    <w:p>
      <w:pPr>
        <w:pStyle w:val="Paragraph"/>
        <w:rPr>
          <w:i w:val="1"/>
          <w:iCs w:val="1"/>
        </w:rPr>
      </w:pPr>
      <w:r>
        <w:rPr>
          <w:b w:val="1"/>
          <w:bCs w:val="1"/>
          <w:rtl w:val="0"/>
          <w:lang w:val="en-US"/>
        </w:rPr>
        <w:t>Reason for Proposed Action:</w:t>
      </w:r>
      <w:r>
        <w:rPr>
          <w:rtl w:val="0"/>
        </w:rPr>
        <w:t xml:space="preserve">  </w:t>
      </w:r>
      <w:r>
        <w:rPr>
          <w:i w:val="1"/>
          <w:iCs w:val="1"/>
          <w:rtl w:val="0"/>
          <w:lang w:val="en-US"/>
        </w:rPr>
        <w:t>Modify requirement for applicant providing criminal background information.</w:t>
      </w:r>
    </w:p>
    <w:p>
      <w:pPr>
        <w:pStyle w:val="Paragraph"/>
        <w:rPr>
          <w:i w:val="1"/>
          <w:iCs w:val="1"/>
        </w:rPr>
      </w:pPr>
    </w:p>
    <w:p>
      <w:pPr>
        <w:pStyle w:val="Paragraph"/>
        <w:rPr>
          <w:i w:val="1"/>
          <w:iCs w:val="1"/>
        </w:rPr>
      </w:pPr>
      <w:r>
        <w:rPr>
          <w:b w:val="1"/>
          <w:bCs w:val="1"/>
          <w:rtl w:val="0"/>
          <w:lang w:val="en-US"/>
        </w:rPr>
        <w:t xml:space="preserve">Comments may be submitted to:  </w:t>
      </w:r>
      <w:r>
        <w:rPr>
          <w:i w:val="1"/>
          <w:iCs w:val="1"/>
          <w:rtl w:val="0"/>
          <w:lang w:val="en-US"/>
        </w:rPr>
        <w:t>Phil Stephenson, 3101 Industrial Drive, Suite 104, Raleigh, NC 27609; phone (919) 788-5320; fax (919) 788-5365; email phil.stephenson@ncdps.gov</w:t>
      </w:r>
    </w:p>
    <w:p>
      <w:pPr>
        <w:pStyle w:val="Paragraph"/>
        <w:rPr>
          <w:i w:val="1"/>
          <w:iCs w:val="1"/>
        </w:rPr>
      </w:pPr>
    </w:p>
    <w:p>
      <w:pPr>
        <w:pStyle w:val="Paragraph"/>
        <w:rPr>
          <w:i w:val="1"/>
          <w:iCs w:val="1"/>
        </w:rPr>
      </w:pPr>
      <w:r>
        <w:rPr>
          <w:b w:val="1"/>
          <w:bCs w:val="1"/>
          <w:rtl w:val="0"/>
          <w:lang w:val="en-US"/>
        </w:rPr>
        <w:t xml:space="preserve">Comment period ends:  </w:t>
      </w:r>
      <w:r>
        <w:rPr>
          <w:i w:val="1"/>
          <w:iCs w:val="1"/>
          <w:rtl w:val="0"/>
          <w:lang w:val="en-US"/>
        </w:rPr>
        <w:t>January 2, 2018</w:t>
      </w:r>
    </w:p>
    <w:p>
      <w:pPr>
        <w:pStyle w:val="Paragraph"/>
      </w:pPr>
    </w:p>
    <w:p>
      <w:pPr>
        <w:pStyle w:val="Paragraph"/>
      </w:pPr>
      <w:r>
        <w:rPr>
          <w:b w:val="1"/>
          <w:bCs w:val="1"/>
          <w:rtl w:val="0"/>
          <w:lang w:val="en-US"/>
        </w:rPr>
        <w:t>Procedure for Subjecting a Proposed Rule to Legislative Review:</w:t>
      </w:r>
      <w:r>
        <w:rPr>
          <w:rtl w:val="0"/>
        </w:rPr>
        <w:t xml:space="preserve"> If an objection is not resolved prior to the adoption of the rule, a person may also submit written objections to the Rules Review Commission after the adoption of the Rule. If the Rules Review Commission receives written and signed objections after the adoption of the Rule in accordance with G.S. 150B-21.3(b2) from 10 or more persons clearly requesting review by the legislature and the Rules Review Commission approves the rule, the rule will become effective as provided in G.S. 150B-21.3(b1). The Commission will receive written objections until 5:00 p.m. on the day following the day the Commission approves the rule. The Commission will receive those objections by mail, delivery service, hand delivery, or facsimile transmission. If you have any further questions concerning the submission of objections to the Commission, please call a Commission staff attorney at 919-431-3000.</w:t>
      </w:r>
    </w:p>
    <w:p>
      <w:pPr>
        <w:pStyle w:val="Paragraph"/>
      </w:pPr>
    </w:p>
    <w:p>
      <w:pPr>
        <w:pStyle w:val="Paragraph"/>
        <w:rPr>
          <w:b w:val="1"/>
          <w:bCs w:val="1"/>
        </w:rPr>
      </w:pPr>
      <w:r>
        <w:rPr>
          <w:b w:val="1"/>
          <w:bCs w:val="1"/>
          <w:rtl w:val="0"/>
          <w:lang w:val="en-US"/>
        </w:rPr>
        <w:t>Fiscal impact (check all that apply).</w:t>
      </w:r>
    </w:p>
    <w:p>
      <w:pPr>
        <w:pStyle w:val="Paragraph"/>
        <w:rPr>
          <w:b w:val="1"/>
          <w:bCs w:val="1"/>
        </w:rPr>
      </w:pPr>
      <w:r>
        <w:rPr>
          <w:b w:val="1"/>
          <w:bCs w:val="1"/>
          <w:rtl w:val="0"/>
        </w:rPr>
        <w:tab/>
        <w:t>State funds affected</w:t>
      </w:r>
    </w:p>
    <w:p>
      <w:pPr>
        <w:pStyle w:val="Paragraph"/>
        <w:rPr>
          <w:b w:val="1"/>
          <w:bCs w:val="1"/>
        </w:rPr>
      </w:pPr>
      <w:r>
        <w:rPr>
          <w:b w:val="1"/>
          <w:bCs w:val="1"/>
          <w:rtl w:val="0"/>
        </w:rPr>
        <w:tab/>
        <w:t>Environmental permitting of DOT affected</w:t>
      </w:r>
    </w:p>
    <w:p>
      <w:pPr>
        <w:pStyle w:val="Paragraph"/>
        <w:rPr>
          <w:b w:val="1"/>
          <w:bCs w:val="1"/>
        </w:rPr>
      </w:pPr>
      <w:r>
        <w:rPr>
          <w:b w:val="1"/>
          <w:bCs w:val="1"/>
          <w:rtl w:val="0"/>
        </w:rPr>
        <w:tab/>
        <w:t>Analysis submitted to Board of Transportation</w:t>
      </w:r>
    </w:p>
    <w:p>
      <w:pPr>
        <w:pStyle w:val="Paragraph"/>
        <w:rPr>
          <w:b w:val="1"/>
          <w:bCs w:val="1"/>
        </w:rPr>
      </w:pPr>
      <w:r>
        <w:rPr>
          <w:b w:val="1"/>
          <w:bCs w:val="1"/>
          <w:rtl w:val="0"/>
        </w:rPr>
        <w:tab/>
        <w:t>Local funds affected</w:t>
      </w:r>
    </w:p>
    <w:p>
      <w:pPr>
        <w:pStyle w:val="Paragraph"/>
        <w:rPr>
          <w:b w:val="1"/>
          <w:bCs w:val="1"/>
        </w:rPr>
      </w:pPr>
      <w:r>
        <w:rPr>
          <w:b w:val="1"/>
          <w:bCs w:val="1"/>
          <w:rtl w:val="0"/>
        </w:rPr>
        <w:tab/>
        <w:t>Substantial economic impact (</w:t>
      </w:r>
      <w:r>
        <w:rPr>
          <w:b w:val="1"/>
          <w:bCs w:val="1"/>
          <w:rtl w:val="0"/>
          <w:lang w:val="en-US"/>
        </w:rPr>
        <w:t>≥</w:t>
      </w:r>
      <w:r>
        <w:rPr>
          <w:b w:val="1"/>
          <w:bCs w:val="1"/>
          <w:rtl w:val="0"/>
          <w:lang w:val="en-US"/>
        </w:rPr>
        <w:t>$1,000,000)</w:t>
      </w:r>
    </w:p>
    <w:p>
      <w:pPr>
        <w:pStyle w:val="Paragraph"/>
        <w:rPr>
          <w:b w:val="1"/>
          <w:bCs w:val="1"/>
        </w:rPr>
      </w:pPr>
      <w:r>
        <w:rPr>
          <w:b w:val="1"/>
          <w:bCs w:val="1"/>
          <w:rtl w:val="0"/>
        </w:rPr>
        <w:tab/>
        <w:t>Approved by OSBM</w:t>
      </w:r>
    </w:p>
    <w:p>
      <w:pPr>
        <w:pStyle w:val="Paragraph"/>
        <w:rPr>
          <w:b w:val="1"/>
          <w:bCs w:val="1"/>
        </w:rPr>
      </w:pPr>
      <w:r>
        <w:rPr>
          <w:b w:val="1"/>
          <w:bCs w:val="1"/>
          <w:rtl w:val="0"/>
        </w:rPr>
        <w:tab/>
        <w:t>No fiscal note required by G.S. 150B-21.4</w:t>
      </w:r>
    </w:p>
    <w:p>
      <w:pPr>
        <w:pStyle w:val="Paragraph"/>
      </w:pPr>
    </w:p>
    <w:p>
      <w:pPr>
        <w:pStyle w:val="Chapter"/>
      </w:pPr>
      <w:r>
        <w:rPr>
          <w:rtl w:val="0"/>
        </w:rPr>
        <w:t>Chapter 17 - Alarms Systems Licensing Board</w:t>
      </w:r>
    </w:p>
    <w:p>
      <w:pPr>
        <w:pStyle w:val="Base"/>
      </w:pPr>
    </w:p>
    <w:p>
      <w:pPr>
        <w:pStyle w:val="Section"/>
      </w:pPr>
      <w:r>
        <w:rPr>
          <w:rtl w:val="0"/>
        </w:rPr>
        <w:t xml:space="preserve">SECTION .0200 </w:t>
      </w:r>
      <w:r>
        <w:rPr>
          <w:rtl w:val="0"/>
        </w:rPr>
        <w:t xml:space="preserve">– </w:t>
      </w:r>
      <w:r>
        <w:rPr>
          <w:rtl w:val="0"/>
        </w:rPr>
        <w:t>PROVISIONS FOR LICENSEES</w:t>
      </w:r>
    </w:p>
    <w:p>
      <w:pPr>
        <w:pStyle w:val="Base"/>
      </w:pPr>
    </w:p>
    <w:p>
      <w:pPr>
        <w:pStyle w:val="Rule"/>
      </w:pPr>
      <w:r>
        <w:rPr>
          <w:rtl w:val="0"/>
        </w:rPr>
        <w:t>14B NCAC 17 .0204</w:t>
        <w:tab/>
        <w:t>RENEWAL OR RE-ISSUE OF LICENSE</w:t>
      </w:r>
    </w:p>
    <w:p>
      <w:pPr>
        <w:pStyle w:val="Paragraph"/>
      </w:pPr>
      <w:r>
        <w:rPr>
          <w:rtl w:val="0"/>
        </w:rPr>
        <w:t>(a)  Each applicant for a license renewal shall complete a renewal form provided by the Board. This form shall be submitted to the administrator not less than 30 days prior to expiration of the applicant's current license and shall be accompanied by:</w:t>
      </w:r>
    </w:p>
    <w:p>
      <w:pPr>
        <w:pStyle w:val="SubParagraph"/>
        <w:tabs>
          <w:tab w:val="clear" w:pos="1800"/>
        </w:tabs>
      </w:pPr>
      <w:r>
        <w:rPr>
          <w:rtl w:val="0"/>
          <w:lang w:val="en-US"/>
        </w:rPr>
        <w:t>(1)</w:t>
        <w:tab/>
        <w:t>two head and shoulders color photographs of the applicant of acceptable quality for identification and made within 90 days of the application one inch by one inch in size;</w:t>
      </w:r>
    </w:p>
    <w:p>
      <w:pPr>
        <w:pStyle w:val="SubParagraph"/>
        <w:tabs>
          <w:tab w:val="clear" w:pos="1800"/>
        </w:tabs>
      </w:pPr>
      <w:r>
        <w:rPr>
          <w:rtl w:val="0"/>
          <w:lang w:val="en-US"/>
        </w:rPr>
        <w:t>(2)</w:t>
        <w:tab/>
        <w:t xml:space="preserve">statements of the result of a local criminal history records search by the </w:t>
      </w:r>
      <w:r>
        <w:rPr>
          <w:strike w:val="1"/>
          <w:dstrike w:val="0"/>
          <w:rtl w:val="0"/>
          <w:lang w:val="en-US"/>
        </w:rPr>
        <w:t>City/County Identification Bureau or Clerk of Superior Court in each county where the applicant has resided within the immediately preceding 24 months;</w:t>
      </w:r>
      <w:r>
        <w:rPr>
          <w:rtl w:val="0"/>
          <w:lang w:val="en-US"/>
        </w:rPr>
        <w:t xml:space="preserve"> </w:t>
      </w:r>
      <w:r>
        <w:rPr>
          <w:u w:val="single"/>
          <w:rtl w:val="0"/>
          <w:lang w:val="en-US"/>
        </w:rPr>
        <w:t>reporting service designated by the Board pursuant to G.S. 74C-8.1(a) for any state where the applicant has resided within the preceeding 24 months;</w:t>
      </w:r>
    </w:p>
    <w:p>
      <w:pPr>
        <w:pStyle w:val="SubParagraph"/>
        <w:tabs>
          <w:tab w:val="clear" w:pos="1800"/>
        </w:tabs>
      </w:pPr>
      <w:r>
        <w:rPr>
          <w:rtl w:val="0"/>
          <w:lang w:val="en-US"/>
        </w:rPr>
        <w:t>(3)</w:t>
        <w:tab/>
        <w:t>the applicant's renewal fee; and</w:t>
      </w:r>
    </w:p>
    <w:p>
      <w:pPr>
        <w:pStyle w:val="SubParagraph"/>
        <w:tabs>
          <w:tab w:val="clear" w:pos="1800"/>
        </w:tabs>
      </w:pPr>
      <w:r>
        <w:rPr>
          <w:rtl w:val="0"/>
          <w:lang w:val="en-US"/>
        </w:rPr>
        <w:t>(4)</w:t>
        <w:tab/>
        <w:t>proof of liability insurance pursuant to G.S. Sec. 74D-9.</w:t>
      </w:r>
    </w:p>
    <w:p>
      <w:pPr>
        <w:pStyle w:val="Paragraph"/>
      </w:pPr>
      <w:r>
        <w:rPr>
          <w:rtl w:val="0"/>
        </w:rPr>
        <w:t>(b)  Applications for renewal shall be submitted not less than 30 days before the expiration date of the license. In no event shall renewal be granted more than 90 days after the date of expiration of a license. Renewals shall be dated on the next day following expiration of the prior license.</w:t>
      </w:r>
    </w:p>
    <w:p>
      <w:pPr>
        <w:pStyle w:val="Paragraph"/>
      </w:pPr>
      <w:r>
        <w:rPr>
          <w:rtl w:val="0"/>
        </w:rPr>
        <w:t>(c)  Applications for renewal submitted after the expiration date of the license shall be accompanied by the late renewal fee established by Rule .0203 of this Section and must be submitted not later than 90 days after the expiration date of the license.</w:t>
      </w:r>
    </w:p>
    <w:p>
      <w:pPr>
        <w:pStyle w:val="Paragraph"/>
      </w:pPr>
      <w:r>
        <w:rPr>
          <w:rtl w:val="0"/>
        </w:rPr>
        <w:t>(d)  The administrator shall approve or deny all applications for renewal. Any denials shall be submitted to the Board for a final board decision.</w:t>
      </w:r>
    </w:p>
    <w:p>
      <w:pPr>
        <w:pStyle w:val="Paragraph"/>
      </w:pPr>
      <w:r>
        <w:rPr>
          <w:rtl w:val="0"/>
        </w:rPr>
        <w:t>(e)  Members of the armed forces whose licenses are in good standing and to whom G.S. 105-249.2 grants an extension of time to file a tax return are granted the same extension of time to pay the license renewal fee and to complete the continuing education requirements prescribed by Section .0500 of this Chapter. A copy of the military order or the extension approval by the Internal Revenue Service or by the North Carolina Department of Revenue must be furnished to the Board.</w:t>
      </w:r>
    </w:p>
    <w:p>
      <w:pPr>
        <w:pStyle w:val="Base"/>
      </w:pPr>
    </w:p>
    <w:p>
      <w:pPr>
        <w:pStyle w:val="HistoryAuthority"/>
      </w:pPr>
      <w:r>
        <w:rPr>
          <w:rtl w:val="0"/>
        </w:rPr>
        <w:t>Authority G.S. 74D-2(a); 74D-5; 93B-15.</w:t>
      </w:r>
    </w:p>
    <w:sectPr>
      <w:headerReference w:type="default" r:id="rId4"/>
      <w:footerReference w:type="default" r:id="rId5"/>
      <w:pgSz w:w="12240" w:h="15840" w:orient="portrait"/>
      <w:pgMar w:top="360" w:right="720" w:bottom="360" w:left="720" w:header="360" w:footer="36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ase">
    <w:name w:val="Base"/>
    <w:next w:val="Base"/>
    <w:pPr>
      <w:keepNext w:val="0"/>
      <w:keepLines w:val="0"/>
      <w:pageBreakBefore w:val="0"/>
      <w:widowControl w:val="1"/>
      <w:shd w:val="clear" w:color="auto" w:fill="auto"/>
      <w:suppressAutoHyphens w:val="0"/>
      <w:bidi w:val="0"/>
      <w:spacing w:before="0" w:after="0" w:line="240" w:lineRule="auto"/>
      <w:ind w:left="0" w:right="0" w:firstLine="0"/>
      <w:jc w:val="both"/>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paragraph" w:styleId="Chapter">
    <w:name w:val="Chapter"/>
    <w:next w:val="Body"/>
    <w:pPr>
      <w:keepNext w:val="0"/>
      <w:keepLines w:val="0"/>
      <w:pageBreakBefore w:val="0"/>
      <w:widowControl w:val="1"/>
      <w:shd w:val="clear" w:color="auto" w:fill="auto"/>
      <w:suppressAutoHyphens w:val="0"/>
      <w:bidi w:val="0"/>
      <w:spacing w:before="0" w:after="0" w:line="240" w:lineRule="auto"/>
      <w:ind w:left="0" w:right="0" w:firstLine="0"/>
      <w:jc w:val="center"/>
      <w:outlineLvl w:val="0"/>
    </w:pPr>
    <w:rPr>
      <w:rFonts w:ascii="Times New Roman" w:cs="Arial Unicode MS" w:hAnsi="Times New Roman" w:eastAsia="Arial Unicode MS"/>
      <w:b w:val="1"/>
      <w:bCs w:val="1"/>
      <w:i w:val="0"/>
      <w:iCs w:val="0"/>
      <w:caps w:val="1"/>
      <w:strike w:val="0"/>
      <w:dstrike w:val="0"/>
      <w:outline w:val="0"/>
      <w:color w:val="000000"/>
      <w:spacing w:val="0"/>
      <w:kern w:val="0"/>
      <w:position w:val="0"/>
      <w:sz w:val="20"/>
      <w:szCs w:val="20"/>
      <w:u w:val="none" w:color="000000"/>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2"/>
      <w:position w:val="0"/>
      <w:sz w:val="20"/>
      <w:szCs w:val="20"/>
      <w:u w:val="none" w:color="000000"/>
      <w:vertAlign w:val="baseline"/>
      <w:lang w:val="en-US"/>
    </w:rPr>
  </w:style>
  <w:style w:type="paragraph" w:styleId="Paragraph">
    <w:name w:val="Paragraph"/>
    <w:next w:val="Paragraph"/>
    <w:pPr>
      <w:keepNext w:val="0"/>
      <w:keepLines w:val="0"/>
      <w:pageBreakBefore w:val="0"/>
      <w:widowControl w:val="1"/>
      <w:shd w:val="clear" w:color="auto" w:fill="auto"/>
      <w:suppressAutoHyphens w:val="0"/>
      <w:bidi w:val="0"/>
      <w:spacing w:before="0" w:after="0" w:line="240" w:lineRule="auto"/>
      <w:ind w:left="0" w:right="0" w:firstLine="0"/>
      <w:jc w:val="both"/>
      <w:outlineLvl w:val="4"/>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paragraph" w:styleId="Section">
    <w:name w:val="Section"/>
    <w:next w:val="Base"/>
    <w:pPr>
      <w:keepNext w:val="0"/>
      <w:keepLines w:val="0"/>
      <w:pageBreakBefore w:val="0"/>
      <w:widowControl w:val="1"/>
      <w:shd w:val="clear" w:color="auto" w:fill="auto"/>
      <w:suppressAutoHyphens w:val="0"/>
      <w:bidi w:val="0"/>
      <w:spacing w:before="0" w:after="0" w:line="240" w:lineRule="auto"/>
      <w:ind w:left="0" w:right="0" w:firstLine="0"/>
      <w:jc w:val="center"/>
      <w:outlineLvl w:val="2"/>
    </w:pPr>
    <w:rPr>
      <w:rFonts w:ascii="Times New Roman" w:cs="Arial Unicode MS" w:hAnsi="Times New Roman" w:eastAsia="Arial Unicode MS"/>
      <w:b w:val="1"/>
      <w:bCs w:val="1"/>
      <w:i w:val="0"/>
      <w:iCs w:val="0"/>
      <w:caps w:val="1"/>
      <w:strike w:val="0"/>
      <w:dstrike w:val="0"/>
      <w:outline w:val="0"/>
      <w:color w:val="000000"/>
      <w:spacing w:val="0"/>
      <w:kern w:val="0"/>
      <w:position w:val="0"/>
      <w:sz w:val="20"/>
      <w:szCs w:val="20"/>
      <w:u w:val="none" w:color="000000"/>
      <w:vertAlign w:val="baseline"/>
      <w:lang w:val="en-US"/>
    </w:rPr>
  </w:style>
  <w:style w:type="paragraph" w:styleId="Rule">
    <w:name w:val="Rule"/>
    <w:next w:val="Base"/>
    <w:pPr>
      <w:keepNext w:val="0"/>
      <w:keepLines w:val="0"/>
      <w:pageBreakBefore w:val="0"/>
      <w:widowControl w:val="1"/>
      <w:shd w:val="clear" w:color="auto" w:fill="auto"/>
      <w:suppressAutoHyphens w:val="0"/>
      <w:bidi w:val="0"/>
      <w:spacing w:before="0" w:after="0" w:line="240" w:lineRule="auto"/>
      <w:ind w:left="2160" w:right="0" w:hanging="2160"/>
      <w:jc w:val="both"/>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20"/>
      <w:szCs w:val="20"/>
      <w:u w:val="none" w:color="000000"/>
      <w:vertAlign w:val="baseline"/>
      <w:lang w:val="en-US"/>
    </w:rPr>
  </w:style>
  <w:style w:type="paragraph" w:styleId="SubParagraph">
    <w:name w:val="SubParagraph"/>
    <w:next w:val="SubParagraph"/>
    <w:pPr>
      <w:keepNext w:val="0"/>
      <w:keepLines w:val="0"/>
      <w:pageBreakBefore w:val="0"/>
      <w:widowControl w:val="1"/>
      <w:shd w:val="clear" w:color="auto" w:fill="auto"/>
      <w:tabs>
        <w:tab w:val="left" w:pos="1800"/>
      </w:tabs>
      <w:suppressAutoHyphens w:val="0"/>
      <w:bidi w:val="0"/>
      <w:spacing w:before="0" w:after="0" w:line="240" w:lineRule="auto"/>
      <w:ind w:left="1440" w:right="0" w:hanging="720"/>
      <w:jc w:val="both"/>
      <w:outlineLvl w:val="5"/>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paragraph" w:styleId="HistoryAuthority">
    <w:name w:val="HistoryAuthority"/>
    <w:next w:val="HistoryAuthorit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1"/>
      <w:iCs w:val="1"/>
      <w:caps w:val="0"/>
      <w:smallCaps w:val="0"/>
      <w:strike w:val="0"/>
      <w:dstrike w:val="0"/>
      <w:outline w:val="0"/>
      <w:color w:val="000000"/>
      <w:spacing w:val="0"/>
      <w:kern w:val="0"/>
      <w:position w:val="0"/>
      <w:sz w:val="20"/>
      <w:szCs w:val="20"/>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