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37AAB6" w14:textId="765AAE30" w:rsidR="00F03A6A" w:rsidRPr="00F43CCA" w:rsidRDefault="00F03A6A" w:rsidP="0025369D">
      <w:pPr>
        <w:tabs>
          <w:tab w:val="center" w:pos="4680"/>
          <w:tab w:val="right" w:pos="9360"/>
        </w:tabs>
        <w:spacing w:after="0"/>
        <w:jc w:val="center"/>
        <w:rPr>
          <w:b/>
          <w:sz w:val="30"/>
          <w:szCs w:val="30"/>
        </w:rPr>
      </w:pPr>
      <w:r w:rsidRPr="00F43CCA">
        <w:rPr>
          <w:b/>
          <w:sz w:val="30"/>
          <w:szCs w:val="30"/>
        </w:rPr>
        <w:t>North Carolina Governor’s Crime Commission</w:t>
      </w:r>
    </w:p>
    <w:p w14:paraId="7C9CCA80" w14:textId="0A250CAB" w:rsidR="00F03A6A" w:rsidRDefault="00F03A6A" w:rsidP="001C5966">
      <w:pPr>
        <w:spacing w:after="0"/>
        <w:jc w:val="center"/>
        <w:rPr>
          <w:b/>
          <w:sz w:val="30"/>
          <w:szCs w:val="30"/>
        </w:rPr>
      </w:pPr>
      <w:r w:rsidRPr="00F43CCA">
        <w:rPr>
          <w:b/>
          <w:sz w:val="30"/>
          <w:szCs w:val="30"/>
        </w:rPr>
        <w:t xml:space="preserve">Crime Victim Services </w:t>
      </w:r>
      <w:r w:rsidR="00F2408C" w:rsidRPr="00F43CCA">
        <w:rPr>
          <w:b/>
          <w:sz w:val="30"/>
          <w:szCs w:val="30"/>
        </w:rPr>
        <w:t>Frequently Asked Questions (FAQ</w:t>
      </w:r>
      <w:r w:rsidRPr="00F43CCA">
        <w:rPr>
          <w:b/>
          <w:sz w:val="30"/>
          <w:szCs w:val="30"/>
        </w:rPr>
        <w:t>)</w:t>
      </w:r>
    </w:p>
    <w:p w14:paraId="4A63A2B5" w14:textId="602FEA80" w:rsidR="00DF7BB7" w:rsidRPr="00F43CCA" w:rsidRDefault="00DF7BB7" w:rsidP="001C5966">
      <w:pPr>
        <w:spacing w:after="0"/>
        <w:jc w:val="center"/>
        <w:rPr>
          <w:b/>
          <w:sz w:val="30"/>
          <w:szCs w:val="30"/>
        </w:rPr>
      </w:pPr>
      <w:r>
        <w:rPr>
          <w:b/>
          <w:sz w:val="30"/>
          <w:szCs w:val="30"/>
        </w:rPr>
        <w:t>(Updated December 2020)</w:t>
      </w:r>
    </w:p>
    <w:p w14:paraId="26118E28" w14:textId="77777777" w:rsidR="00F03A6A" w:rsidRDefault="00F03A6A"/>
    <w:p w14:paraId="0A875F8A" w14:textId="3012D0EC" w:rsidR="00393538" w:rsidRDefault="00F03A6A">
      <w:pPr>
        <w:rPr>
          <w:rFonts w:cstheme="minorHAnsi"/>
          <w:sz w:val="23"/>
          <w:szCs w:val="23"/>
        </w:rPr>
      </w:pPr>
      <w:r w:rsidRPr="000517F1">
        <w:rPr>
          <w:rFonts w:cstheme="minorHAnsi"/>
          <w:sz w:val="23"/>
          <w:szCs w:val="23"/>
        </w:rPr>
        <w:t>The Crime Victims Services (CVS) Committee focuses on providing resources and programs to serve victims across the state through two Federal funding sources: The Victims of Crime Act (</w:t>
      </w:r>
      <w:r w:rsidRPr="000517F1">
        <w:rPr>
          <w:rFonts w:cstheme="minorHAnsi"/>
          <w:sz w:val="23"/>
          <w:szCs w:val="23"/>
          <w:u w:val="single"/>
        </w:rPr>
        <w:t>VOCA</w:t>
      </w:r>
      <w:r w:rsidRPr="000517F1">
        <w:rPr>
          <w:rFonts w:cstheme="minorHAnsi"/>
          <w:sz w:val="23"/>
          <w:szCs w:val="23"/>
        </w:rPr>
        <w:t xml:space="preserve">) and </w:t>
      </w:r>
      <w:r w:rsidR="00232598">
        <w:rPr>
          <w:rFonts w:cstheme="minorHAnsi"/>
          <w:sz w:val="23"/>
          <w:szCs w:val="23"/>
        </w:rPr>
        <w:t>the Violence Against Women Act</w:t>
      </w:r>
      <w:r w:rsidR="0047721F">
        <w:rPr>
          <w:rFonts w:cstheme="minorHAnsi"/>
          <w:sz w:val="23"/>
          <w:szCs w:val="23"/>
        </w:rPr>
        <w:t xml:space="preserve"> (VAWA)</w:t>
      </w:r>
      <w:r w:rsidR="0025369D">
        <w:rPr>
          <w:rFonts w:cstheme="minorHAnsi"/>
          <w:sz w:val="23"/>
          <w:szCs w:val="23"/>
        </w:rPr>
        <w:t>, herein referred to as STOP</w:t>
      </w:r>
      <w:r w:rsidRPr="000517F1">
        <w:rPr>
          <w:rFonts w:cstheme="minorHAnsi"/>
          <w:sz w:val="23"/>
          <w:szCs w:val="23"/>
        </w:rPr>
        <w:t>.</w:t>
      </w:r>
      <w:r>
        <w:rPr>
          <w:rFonts w:cstheme="minorHAnsi"/>
          <w:sz w:val="23"/>
          <w:szCs w:val="23"/>
        </w:rPr>
        <w:t xml:space="preserve"> </w:t>
      </w:r>
      <w:r w:rsidR="0025369D">
        <w:rPr>
          <w:rFonts w:cstheme="minorHAnsi"/>
          <w:sz w:val="23"/>
          <w:szCs w:val="23"/>
        </w:rPr>
        <w:t xml:space="preserve"> </w:t>
      </w:r>
      <w:r w:rsidR="00393538">
        <w:rPr>
          <w:rFonts w:cstheme="minorHAnsi"/>
          <w:sz w:val="23"/>
          <w:szCs w:val="23"/>
        </w:rPr>
        <w:t xml:space="preserve">This document is designed to address frequently asked questions submitted by subrecipients and includes information on both funding sources.  </w:t>
      </w:r>
      <w:r w:rsidR="00393538" w:rsidRPr="000517F1">
        <w:rPr>
          <w:rFonts w:cstheme="minorHAnsi"/>
          <w:sz w:val="23"/>
          <w:szCs w:val="23"/>
        </w:rPr>
        <w:t>We encourage you to re</w:t>
      </w:r>
      <w:r w:rsidR="00393538">
        <w:rPr>
          <w:rFonts w:cstheme="minorHAnsi"/>
          <w:sz w:val="23"/>
          <w:szCs w:val="23"/>
        </w:rPr>
        <w:t xml:space="preserve">fer to </w:t>
      </w:r>
      <w:r w:rsidR="00393538" w:rsidRPr="000517F1">
        <w:rPr>
          <w:rFonts w:cstheme="minorHAnsi"/>
          <w:sz w:val="23"/>
          <w:szCs w:val="23"/>
        </w:rPr>
        <w:t>this document</w:t>
      </w:r>
      <w:r w:rsidR="00393538">
        <w:rPr>
          <w:rFonts w:cstheme="minorHAnsi"/>
          <w:sz w:val="23"/>
          <w:szCs w:val="23"/>
        </w:rPr>
        <w:t xml:space="preserve"> for any questions you may have about the application process and the respective funding sources. </w:t>
      </w:r>
    </w:p>
    <w:p w14:paraId="0668DDCB" w14:textId="77777777" w:rsidR="00393538" w:rsidRDefault="00393538">
      <w:pPr>
        <w:rPr>
          <w:rFonts w:cstheme="minorHAnsi"/>
          <w:sz w:val="23"/>
          <w:szCs w:val="23"/>
        </w:rPr>
      </w:pPr>
      <w:r w:rsidRPr="000517F1">
        <w:rPr>
          <w:rFonts w:cstheme="minorHAnsi"/>
          <w:sz w:val="23"/>
          <w:szCs w:val="23"/>
        </w:rPr>
        <w:t xml:space="preserve">The staff at the Governor’s Crime Commission is committed to providing high quality, efficient, and effective customer service through guidance, support services, collaboration, compliance and technical expertise during the life of the grant.  Our success relies on the success of our grantees in providing services to communities across the state, and in complying with all Federal, State, and GCC guidelines.  </w:t>
      </w:r>
    </w:p>
    <w:p w14:paraId="0011721E" w14:textId="77777777" w:rsidR="00393538" w:rsidRDefault="00393538">
      <w:pPr>
        <w:rPr>
          <w:rFonts w:cstheme="minorHAnsi"/>
          <w:sz w:val="23"/>
          <w:szCs w:val="23"/>
        </w:rPr>
      </w:pPr>
      <w:r>
        <w:rPr>
          <w:rFonts w:cstheme="minorHAnsi"/>
          <w:sz w:val="23"/>
          <w:szCs w:val="23"/>
        </w:rPr>
        <w:t xml:space="preserve">For any additional </w:t>
      </w:r>
      <w:r w:rsidR="00245B3A">
        <w:rPr>
          <w:rFonts w:cstheme="minorHAnsi"/>
          <w:sz w:val="23"/>
          <w:szCs w:val="23"/>
        </w:rPr>
        <w:t>guidance</w:t>
      </w:r>
      <w:r>
        <w:rPr>
          <w:rFonts w:cstheme="minorHAnsi"/>
          <w:sz w:val="23"/>
          <w:szCs w:val="23"/>
        </w:rPr>
        <w:t xml:space="preserve"> </w:t>
      </w:r>
      <w:r w:rsidR="007F6099">
        <w:rPr>
          <w:rFonts w:cstheme="minorHAnsi"/>
          <w:sz w:val="23"/>
          <w:szCs w:val="23"/>
        </w:rPr>
        <w:t xml:space="preserve">not addressed </w:t>
      </w:r>
      <w:r w:rsidR="00245B3A">
        <w:rPr>
          <w:rFonts w:cstheme="minorHAnsi"/>
          <w:sz w:val="23"/>
          <w:szCs w:val="23"/>
        </w:rPr>
        <w:t>by</w:t>
      </w:r>
      <w:r w:rsidR="007F6099">
        <w:rPr>
          <w:rFonts w:cstheme="minorHAnsi"/>
          <w:sz w:val="23"/>
          <w:szCs w:val="23"/>
        </w:rPr>
        <w:t xml:space="preserve"> the FAQs, please contact a member of the CVS Planning Team at (919) 733-4564, or at:</w:t>
      </w:r>
    </w:p>
    <w:p w14:paraId="3853934F" w14:textId="16CCCB05" w:rsidR="007F6099" w:rsidRPr="000517F1" w:rsidRDefault="007F6099" w:rsidP="007F6099">
      <w:pPr>
        <w:spacing w:before="120" w:line="276" w:lineRule="auto"/>
        <w:ind w:left="720"/>
        <w:rPr>
          <w:rFonts w:cstheme="minorHAnsi"/>
          <w:sz w:val="23"/>
          <w:szCs w:val="23"/>
        </w:rPr>
      </w:pPr>
      <w:r w:rsidRPr="000517F1">
        <w:rPr>
          <w:rFonts w:cstheme="minorHAnsi"/>
          <w:b/>
          <w:sz w:val="23"/>
          <w:szCs w:val="23"/>
        </w:rPr>
        <w:t>Sandy Dixon</w:t>
      </w:r>
      <w:r w:rsidR="007B6F62">
        <w:rPr>
          <w:rFonts w:cstheme="minorHAnsi"/>
          <w:sz w:val="23"/>
          <w:szCs w:val="23"/>
        </w:rPr>
        <w:t xml:space="preserve">, Lead Planner, Crime Victim Services </w:t>
      </w:r>
      <w:r w:rsidRPr="000517F1">
        <w:rPr>
          <w:rFonts w:cstheme="minorHAnsi"/>
          <w:sz w:val="23"/>
          <w:szCs w:val="23"/>
        </w:rPr>
        <w:t xml:space="preserve">at </w:t>
      </w:r>
      <w:hyperlink r:id="rId8" w:history="1">
        <w:r w:rsidRPr="000517F1">
          <w:rPr>
            <w:rStyle w:val="Hyperlink"/>
            <w:rFonts w:cstheme="minorHAnsi"/>
            <w:sz w:val="23"/>
            <w:szCs w:val="23"/>
          </w:rPr>
          <w:t>sandy.dixon@ncdps.gov</w:t>
        </w:r>
      </w:hyperlink>
    </w:p>
    <w:p w14:paraId="3645351E" w14:textId="18C160B9" w:rsidR="007F6099" w:rsidRDefault="007F6099" w:rsidP="007F6099">
      <w:pPr>
        <w:spacing w:before="120" w:line="276" w:lineRule="auto"/>
        <w:ind w:left="720"/>
        <w:rPr>
          <w:rFonts w:cstheme="minorHAnsi"/>
          <w:sz w:val="23"/>
          <w:szCs w:val="23"/>
        </w:rPr>
      </w:pPr>
      <w:r w:rsidRPr="000517F1">
        <w:rPr>
          <w:rFonts w:cstheme="minorHAnsi"/>
          <w:b/>
          <w:sz w:val="23"/>
          <w:szCs w:val="23"/>
        </w:rPr>
        <w:t>Jim Lassiter</w:t>
      </w:r>
      <w:r w:rsidRPr="000517F1">
        <w:rPr>
          <w:rFonts w:cstheme="minorHAnsi"/>
          <w:sz w:val="23"/>
          <w:szCs w:val="23"/>
        </w:rPr>
        <w:t xml:space="preserve">, VOCA Administrator at </w:t>
      </w:r>
      <w:hyperlink r:id="rId9" w:history="1">
        <w:r w:rsidRPr="000517F1">
          <w:rPr>
            <w:rStyle w:val="Hyperlink"/>
            <w:rFonts w:cstheme="minorHAnsi"/>
            <w:sz w:val="23"/>
            <w:szCs w:val="23"/>
          </w:rPr>
          <w:t>jim.lassiter1@ncdps.gov</w:t>
        </w:r>
      </w:hyperlink>
      <w:r w:rsidRPr="000517F1">
        <w:rPr>
          <w:rFonts w:cstheme="minorHAnsi"/>
          <w:sz w:val="23"/>
          <w:szCs w:val="23"/>
        </w:rPr>
        <w:t xml:space="preserve"> </w:t>
      </w:r>
    </w:p>
    <w:p w14:paraId="4DA8518D" w14:textId="0482FA01" w:rsidR="00216600" w:rsidRPr="00216600" w:rsidRDefault="00216600" w:rsidP="007F6099">
      <w:pPr>
        <w:spacing w:before="120" w:line="276" w:lineRule="auto"/>
        <w:ind w:left="720"/>
        <w:rPr>
          <w:rFonts w:cstheme="minorHAnsi"/>
          <w:sz w:val="23"/>
          <w:szCs w:val="23"/>
        </w:rPr>
      </w:pPr>
      <w:r>
        <w:rPr>
          <w:rFonts w:cstheme="minorHAnsi"/>
          <w:b/>
          <w:sz w:val="23"/>
          <w:szCs w:val="23"/>
        </w:rPr>
        <w:t xml:space="preserve">Daun Brown, </w:t>
      </w:r>
      <w:r>
        <w:rPr>
          <w:rFonts w:cstheme="minorHAnsi"/>
          <w:sz w:val="23"/>
          <w:szCs w:val="23"/>
        </w:rPr>
        <w:t xml:space="preserve">VOCA Administrator at </w:t>
      </w:r>
      <w:hyperlink r:id="rId10" w:history="1">
        <w:r w:rsidRPr="00ED61B5">
          <w:rPr>
            <w:rStyle w:val="Hyperlink"/>
            <w:rFonts w:cstheme="minorHAnsi"/>
            <w:sz w:val="23"/>
            <w:szCs w:val="23"/>
          </w:rPr>
          <w:t>daun.brown@ncdps.gov</w:t>
        </w:r>
      </w:hyperlink>
      <w:r>
        <w:rPr>
          <w:rFonts w:cstheme="minorHAnsi"/>
          <w:sz w:val="23"/>
          <w:szCs w:val="23"/>
        </w:rPr>
        <w:t xml:space="preserve"> </w:t>
      </w:r>
    </w:p>
    <w:p w14:paraId="1813898E" w14:textId="77777777" w:rsidR="007F6099" w:rsidRDefault="007F6099" w:rsidP="007F6099">
      <w:pPr>
        <w:spacing w:before="120" w:line="276" w:lineRule="auto"/>
        <w:ind w:left="720"/>
        <w:rPr>
          <w:rStyle w:val="Hyperlink"/>
          <w:rFonts w:cstheme="minorHAnsi"/>
          <w:sz w:val="23"/>
          <w:szCs w:val="23"/>
        </w:rPr>
      </w:pPr>
      <w:r w:rsidRPr="000517F1">
        <w:rPr>
          <w:rFonts w:cstheme="minorHAnsi"/>
          <w:b/>
          <w:color w:val="000000"/>
          <w:sz w:val="23"/>
          <w:szCs w:val="23"/>
        </w:rPr>
        <w:t>Karen Lombri</w:t>
      </w:r>
      <w:r w:rsidRPr="000517F1">
        <w:rPr>
          <w:rFonts w:cstheme="minorHAnsi"/>
          <w:color w:val="000000"/>
          <w:sz w:val="23"/>
          <w:szCs w:val="23"/>
        </w:rPr>
        <w:t xml:space="preserve">, VAWA Administrator at </w:t>
      </w:r>
      <w:hyperlink r:id="rId11" w:history="1">
        <w:r w:rsidRPr="000517F1">
          <w:rPr>
            <w:rStyle w:val="Hyperlink"/>
            <w:rFonts w:cstheme="minorHAnsi"/>
            <w:sz w:val="23"/>
            <w:szCs w:val="23"/>
          </w:rPr>
          <w:t>karen.lombri@ncdps.gov</w:t>
        </w:r>
      </w:hyperlink>
    </w:p>
    <w:p w14:paraId="0F5272E3" w14:textId="77777777" w:rsidR="00107D2E" w:rsidRPr="000517F1" w:rsidRDefault="00107D2E" w:rsidP="007F6099">
      <w:pPr>
        <w:spacing w:before="120" w:line="276" w:lineRule="auto"/>
        <w:ind w:left="720"/>
        <w:rPr>
          <w:rFonts w:cstheme="minorHAnsi"/>
          <w:color w:val="000000"/>
          <w:sz w:val="23"/>
          <w:szCs w:val="23"/>
        </w:rPr>
      </w:pPr>
    </w:p>
    <w:p w14:paraId="690E387E" w14:textId="77777777" w:rsidR="006B1EE3" w:rsidRDefault="00245B3A">
      <w:pPr>
        <w:rPr>
          <w:b/>
        </w:rPr>
      </w:pPr>
      <w:r>
        <w:rPr>
          <w:b/>
        </w:rPr>
        <w:br w:type="page"/>
      </w:r>
    </w:p>
    <w:sdt>
      <w:sdtPr>
        <w:rPr>
          <w:rFonts w:asciiTheme="minorHAnsi" w:eastAsiaTheme="minorHAnsi" w:hAnsiTheme="minorHAnsi" w:cstheme="minorBidi"/>
          <w:b w:val="0"/>
          <w:color w:val="auto"/>
          <w:sz w:val="22"/>
          <w:szCs w:val="22"/>
          <w:u w:val="none"/>
        </w:rPr>
        <w:id w:val="-2056998637"/>
        <w:docPartObj>
          <w:docPartGallery w:val="Table of Contents"/>
          <w:docPartUnique/>
        </w:docPartObj>
      </w:sdtPr>
      <w:sdtEndPr>
        <w:rPr>
          <w:bCs/>
          <w:noProof/>
        </w:rPr>
      </w:sdtEndPr>
      <w:sdtContent>
        <w:p w14:paraId="3D0C6D51" w14:textId="773EC4DA" w:rsidR="001C5966" w:rsidRPr="009D642D" w:rsidRDefault="001C5966" w:rsidP="001C5966">
          <w:pPr>
            <w:pStyle w:val="TOCHeading"/>
            <w:spacing w:line="276" w:lineRule="auto"/>
            <w:rPr>
              <w:szCs w:val="30"/>
            </w:rPr>
          </w:pPr>
          <w:r w:rsidRPr="009D642D">
            <w:rPr>
              <w:szCs w:val="30"/>
            </w:rPr>
            <w:t>Table of Contents</w:t>
          </w:r>
        </w:p>
        <w:p w14:paraId="72B08C00" w14:textId="6BABF8A1" w:rsidR="0025369D" w:rsidRDefault="00847C11">
          <w:pPr>
            <w:pStyle w:val="TOC1"/>
            <w:tabs>
              <w:tab w:val="right" w:leader="dot" w:pos="9350"/>
            </w:tabs>
            <w:rPr>
              <w:rFonts w:cstheme="minorBidi"/>
              <w:noProof/>
            </w:rPr>
          </w:pPr>
          <w:r>
            <w:rPr>
              <w:b/>
              <w:bCs/>
              <w:noProof/>
            </w:rPr>
            <w:fldChar w:fldCharType="begin"/>
          </w:r>
          <w:r>
            <w:rPr>
              <w:b/>
              <w:bCs/>
              <w:noProof/>
            </w:rPr>
            <w:instrText xml:space="preserve"> TOC \o "1-3" \h \z \u </w:instrText>
          </w:r>
          <w:r>
            <w:rPr>
              <w:b/>
              <w:bCs/>
              <w:noProof/>
            </w:rPr>
            <w:fldChar w:fldCharType="separate"/>
          </w:r>
          <w:hyperlink w:anchor="_Toc58588063" w:history="1">
            <w:r w:rsidR="0025369D" w:rsidRPr="00F35577">
              <w:rPr>
                <w:rStyle w:val="Hyperlink"/>
                <w:noProof/>
              </w:rPr>
              <w:t>Application Process and GEMS</w:t>
            </w:r>
            <w:r w:rsidR="0025369D">
              <w:rPr>
                <w:noProof/>
                <w:webHidden/>
              </w:rPr>
              <w:tab/>
            </w:r>
            <w:r w:rsidR="0025369D">
              <w:rPr>
                <w:noProof/>
                <w:webHidden/>
              </w:rPr>
              <w:fldChar w:fldCharType="begin"/>
            </w:r>
            <w:r w:rsidR="0025369D">
              <w:rPr>
                <w:noProof/>
                <w:webHidden/>
              </w:rPr>
              <w:instrText xml:space="preserve"> PAGEREF _Toc58588063 \h </w:instrText>
            </w:r>
            <w:r w:rsidR="0025369D">
              <w:rPr>
                <w:noProof/>
                <w:webHidden/>
              </w:rPr>
            </w:r>
            <w:r w:rsidR="0025369D">
              <w:rPr>
                <w:noProof/>
                <w:webHidden/>
              </w:rPr>
              <w:fldChar w:fldCharType="separate"/>
            </w:r>
            <w:r w:rsidR="0025369D">
              <w:rPr>
                <w:noProof/>
                <w:webHidden/>
              </w:rPr>
              <w:t>5</w:t>
            </w:r>
            <w:r w:rsidR="0025369D">
              <w:rPr>
                <w:noProof/>
                <w:webHidden/>
              </w:rPr>
              <w:fldChar w:fldCharType="end"/>
            </w:r>
          </w:hyperlink>
        </w:p>
        <w:p w14:paraId="79F7E232" w14:textId="71FDA6C2" w:rsidR="0025369D" w:rsidRDefault="0025369D">
          <w:pPr>
            <w:pStyle w:val="TOC2"/>
            <w:tabs>
              <w:tab w:val="right" w:leader="dot" w:pos="9350"/>
            </w:tabs>
            <w:rPr>
              <w:rFonts w:cstheme="minorBidi"/>
              <w:noProof/>
            </w:rPr>
          </w:pPr>
          <w:hyperlink w:anchor="_Toc58588064" w:history="1">
            <w:r w:rsidRPr="00F35577">
              <w:rPr>
                <w:rStyle w:val="Hyperlink"/>
                <w:noProof/>
              </w:rPr>
              <w:t>What is SAM.gov, and how do I register my organization?</w:t>
            </w:r>
            <w:r>
              <w:rPr>
                <w:noProof/>
                <w:webHidden/>
              </w:rPr>
              <w:tab/>
            </w:r>
            <w:r>
              <w:rPr>
                <w:noProof/>
                <w:webHidden/>
              </w:rPr>
              <w:fldChar w:fldCharType="begin"/>
            </w:r>
            <w:r>
              <w:rPr>
                <w:noProof/>
                <w:webHidden/>
              </w:rPr>
              <w:instrText xml:space="preserve"> PAGEREF _Toc58588064 \h </w:instrText>
            </w:r>
            <w:r>
              <w:rPr>
                <w:noProof/>
                <w:webHidden/>
              </w:rPr>
            </w:r>
            <w:r>
              <w:rPr>
                <w:noProof/>
                <w:webHidden/>
              </w:rPr>
              <w:fldChar w:fldCharType="separate"/>
            </w:r>
            <w:r>
              <w:rPr>
                <w:noProof/>
                <w:webHidden/>
              </w:rPr>
              <w:t>5</w:t>
            </w:r>
            <w:r>
              <w:rPr>
                <w:noProof/>
                <w:webHidden/>
              </w:rPr>
              <w:fldChar w:fldCharType="end"/>
            </w:r>
          </w:hyperlink>
        </w:p>
        <w:p w14:paraId="35AD7E4B" w14:textId="42046614" w:rsidR="0025369D" w:rsidRDefault="0025369D">
          <w:pPr>
            <w:pStyle w:val="TOC2"/>
            <w:tabs>
              <w:tab w:val="right" w:leader="dot" w:pos="9350"/>
            </w:tabs>
            <w:rPr>
              <w:rFonts w:cstheme="minorBidi"/>
              <w:noProof/>
            </w:rPr>
          </w:pPr>
          <w:hyperlink w:anchor="_Toc58588065" w:history="1">
            <w:r w:rsidRPr="00F35577">
              <w:rPr>
                <w:rStyle w:val="Hyperlink"/>
                <w:noProof/>
              </w:rPr>
              <w:t>How do I obtain a DUNS number?</w:t>
            </w:r>
            <w:r>
              <w:rPr>
                <w:noProof/>
                <w:webHidden/>
              </w:rPr>
              <w:tab/>
            </w:r>
            <w:r>
              <w:rPr>
                <w:noProof/>
                <w:webHidden/>
              </w:rPr>
              <w:fldChar w:fldCharType="begin"/>
            </w:r>
            <w:r>
              <w:rPr>
                <w:noProof/>
                <w:webHidden/>
              </w:rPr>
              <w:instrText xml:space="preserve"> PAGEREF _Toc58588065 \h </w:instrText>
            </w:r>
            <w:r>
              <w:rPr>
                <w:noProof/>
                <w:webHidden/>
              </w:rPr>
            </w:r>
            <w:r>
              <w:rPr>
                <w:noProof/>
                <w:webHidden/>
              </w:rPr>
              <w:fldChar w:fldCharType="separate"/>
            </w:r>
            <w:r>
              <w:rPr>
                <w:noProof/>
                <w:webHidden/>
              </w:rPr>
              <w:t>5</w:t>
            </w:r>
            <w:r>
              <w:rPr>
                <w:noProof/>
                <w:webHidden/>
              </w:rPr>
              <w:fldChar w:fldCharType="end"/>
            </w:r>
          </w:hyperlink>
        </w:p>
        <w:p w14:paraId="5BD2CCE6" w14:textId="797A19E7" w:rsidR="0025369D" w:rsidRDefault="0025369D">
          <w:pPr>
            <w:pStyle w:val="TOC2"/>
            <w:tabs>
              <w:tab w:val="right" w:leader="dot" w:pos="9350"/>
            </w:tabs>
            <w:rPr>
              <w:rFonts w:cstheme="minorBidi"/>
              <w:noProof/>
            </w:rPr>
          </w:pPr>
          <w:hyperlink w:anchor="_Toc58588066" w:history="1">
            <w:r w:rsidRPr="00F35577">
              <w:rPr>
                <w:rStyle w:val="Hyperlink"/>
                <w:noProof/>
              </w:rPr>
              <w:t>Who requires an NCID?</w:t>
            </w:r>
            <w:r>
              <w:rPr>
                <w:noProof/>
                <w:webHidden/>
              </w:rPr>
              <w:tab/>
            </w:r>
            <w:r>
              <w:rPr>
                <w:noProof/>
                <w:webHidden/>
              </w:rPr>
              <w:fldChar w:fldCharType="begin"/>
            </w:r>
            <w:r>
              <w:rPr>
                <w:noProof/>
                <w:webHidden/>
              </w:rPr>
              <w:instrText xml:space="preserve"> PAGEREF _Toc58588066 \h </w:instrText>
            </w:r>
            <w:r>
              <w:rPr>
                <w:noProof/>
                <w:webHidden/>
              </w:rPr>
            </w:r>
            <w:r>
              <w:rPr>
                <w:noProof/>
                <w:webHidden/>
              </w:rPr>
              <w:fldChar w:fldCharType="separate"/>
            </w:r>
            <w:r>
              <w:rPr>
                <w:noProof/>
                <w:webHidden/>
              </w:rPr>
              <w:t>5</w:t>
            </w:r>
            <w:r>
              <w:rPr>
                <w:noProof/>
                <w:webHidden/>
              </w:rPr>
              <w:fldChar w:fldCharType="end"/>
            </w:r>
          </w:hyperlink>
        </w:p>
        <w:p w14:paraId="410B8299" w14:textId="26E78B3F" w:rsidR="0025369D" w:rsidRDefault="0025369D">
          <w:pPr>
            <w:pStyle w:val="TOC2"/>
            <w:tabs>
              <w:tab w:val="right" w:leader="dot" w:pos="9350"/>
            </w:tabs>
            <w:rPr>
              <w:rFonts w:cstheme="minorBidi"/>
              <w:noProof/>
            </w:rPr>
          </w:pPr>
          <w:hyperlink w:anchor="_Toc58588067" w:history="1">
            <w:r w:rsidRPr="00F35577">
              <w:rPr>
                <w:rStyle w:val="Hyperlink"/>
                <w:noProof/>
              </w:rPr>
              <w:t>Does our Board Chair have to be listed as the Authorizing Official in our project?</w:t>
            </w:r>
            <w:r>
              <w:rPr>
                <w:noProof/>
                <w:webHidden/>
              </w:rPr>
              <w:tab/>
            </w:r>
            <w:r>
              <w:rPr>
                <w:noProof/>
                <w:webHidden/>
              </w:rPr>
              <w:fldChar w:fldCharType="begin"/>
            </w:r>
            <w:r>
              <w:rPr>
                <w:noProof/>
                <w:webHidden/>
              </w:rPr>
              <w:instrText xml:space="preserve"> PAGEREF _Toc58588067 \h </w:instrText>
            </w:r>
            <w:r>
              <w:rPr>
                <w:noProof/>
                <w:webHidden/>
              </w:rPr>
            </w:r>
            <w:r>
              <w:rPr>
                <w:noProof/>
                <w:webHidden/>
              </w:rPr>
              <w:fldChar w:fldCharType="separate"/>
            </w:r>
            <w:r>
              <w:rPr>
                <w:noProof/>
                <w:webHidden/>
              </w:rPr>
              <w:t>6</w:t>
            </w:r>
            <w:r>
              <w:rPr>
                <w:noProof/>
                <w:webHidden/>
              </w:rPr>
              <w:fldChar w:fldCharType="end"/>
            </w:r>
          </w:hyperlink>
        </w:p>
        <w:p w14:paraId="719E08C3" w14:textId="1DCE52CC" w:rsidR="0025369D" w:rsidRDefault="0025369D">
          <w:pPr>
            <w:pStyle w:val="TOC2"/>
            <w:tabs>
              <w:tab w:val="right" w:leader="dot" w:pos="9350"/>
            </w:tabs>
            <w:rPr>
              <w:rFonts w:cstheme="minorBidi"/>
              <w:noProof/>
            </w:rPr>
          </w:pPr>
          <w:hyperlink w:anchor="_Toc58588068" w:history="1">
            <w:r w:rsidRPr="00F35577">
              <w:rPr>
                <w:rStyle w:val="Hyperlink"/>
                <w:noProof/>
              </w:rPr>
              <w:t>How do we set up the organizational roles (Authorizing Official, Financial Officer, Project Director) in our project application?</w:t>
            </w:r>
            <w:r>
              <w:rPr>
                <w:noProof/>
                <w:webHidden/>
              </w:rPr>
              <w:tab/>
            </w:r>
            <w:r>
              <w:rPr>
                <w:noProof/>
                <w:webHidden/>
              </w:rPr>
              <w:fldChar w:fldCharType="begin"/>
            </w:r>
            <w:r>
              <w:rPr>
                <w:noProof/>
                <w:webHidden/>
              </w:rPr>
              <w:instrText xml:space="preserve"> PAGEREF _Toc58588068 \h </w:instrText>
            </w:r>
            <w:r>
              <w:rPr>
                <w:noProof/>
                <w:webHidden/>
              </w:rPr>
            </w:r>
            <w:r>
              <w:rPr>
                <w:noProof/>
                <w:webHidden/>
              </w:rPr>
              <w:fldChar w:fldCharType="separate"/>
            </w:r>
            <w:r>
              <w:rPr>
                <w:noProof/>
                <w:webHidden/>
              </w:rPr>
              <w:t>6</w:t>
            </w:r>
            <w:r>
              <w:rPr>
                <w:noProof/>
                <w:webHidden/>
              </w:rPr>
              <w:fldChar w:fldCharType="end"/>
            </w:r>
          </w:hyperlink>
        </w:p>
        <w:p w14:paraId="56C3113B" w14:textId="53ADA8EF" w:rsidR="0025369D" w:rsidRDefault="0025369D">
          <w:pPr>
            <w:pStyle w:val="TOC1"/>
            <w:tabs>
              <w:tab w:val="right" w:leader="dot" w:pos="9350"/>
            </w:tabs>
            <w:rPr>
              <w:rFonts w:cstheme="minorBidi"/>
              <w:noProof/>
            </w:rPr>
          </w:pPr>
          <w:hyperlink w:anchor="_Toc58588069" w:history="1">
            <w:r w:rsidRPr="00F35577">
              <w:rPr>
                <w:rStyle w:val="Hyperlink"/>
                <w:noProof/>
              </w:rPr>
              <w:t>Financial and Budgetary Questions</w:t>
            </w:r>
            <w:r>
              <w:rPr>
                <w:noProof/>
                <w:webHidden/>
              </w:rPr>
              <w:tab/>
            </w:r>
            <w:r>
              <w:rPr>
                <w:noProof/>
                <w:webHidden/>
              </w:rPr>
              <w:fldChar w:fldCharType="begin"/>
            </w:r>
            <w:r>
              <w:rPr>
                <w:noProof/>
                <w:webHidden/>
              </w:rPr>
              <w:instrText xml:space="preserve"> PAGEREF _Toc58588069 \h </w:instrText>
            </w:r>
            <w:r>
              <w:rPr>
                <w:noProof/>
                <w:webHidden/>
              </w:rPr>
            </w:r>
            <w:r>
              <w:rPr>
                <w:noProof/>
                <w:webHidden/>
              </w:rPr>
              <w:fldChar w:fldCharType="separate"/>
            </w:r>
            <w:r>
              <w:rPr>
                <w:noProof/>
                <w:webHidden/>
              </w:rPr>
              <w:t>6</w:t>
            </w:r>
            <w:r>
              <w:rPr>
                <w:noProof/>
                <w:webHidden/>
              </w:rPr>
              <w:fldChar w:fldCharType="end"/>
            </w:r>
          </w:hyperlink>
        </w:p>
        <w:p w14:paraId="1478EFF5" w14:textId="1FBFBAA5" w:rsidR="0025369D" w:rsidRDefault="0025369D">
          <w:pPr>
            <w:pStyle w:val="TOC2"/>
            <w:tabs>
              <w:tab w:val="right" w:leader="dot" w:pos="9350"/>
            </w:tabs>
            <w:rPr>
              <w:rFonts w:cstheme="minorBidi"/>
              <w:noProof/>
            </w:rPr>
          </w:pPr>
          <w:hyperlink w:anchor="_Toc58588070" w:history="1">
            <w:r w:rsidRPr="00F35577">
              <w:rPr>
                <w:rStyle w:val="Hyperlink"/>
                <w:noProof/>
              </w:rPr>
              <w:t>Can indirect cost-related expenses be used as match?</w:t>
            </w:r>
            <w:r>
              <w:rPr>
                <w:noProof/>
                <w:webHidden/>
              </w:rPr>
              <w:tab/>
            </w:r>
            <w:r>
              <w:rPr>
                <w:noProof/>
                <w:webHidden/>
              </w:rPr>
              <w:fldChar w:fldCharType="begin"/>
            </w:r>
            <w:r>
              <w:rPr>
                <w:noProof/>
                <w:webHidden/>
              </w:rPr>
              <w:instrText xml:space="preserve"> PAGEREF _Toc58588070 \h </w:instrText>
            </w:r>
            <w:r>
              <w:rPr>
                <w:noProof/>
                <w:webHidden/>
              </w:rPr>
            </w:r>
            <w:r>
              <w:rPr>
                <w:noProof/>
                <w:webHidden/>
              </w:rPr>
              <w:fldChar w:fldCharType="separate"/>
            </w:r>
            <w:r>
              <w:rPr>
                <w:noProof/>
                <w:webHidden/>
              </w:rPr>
              <w:t>6</w:t>
            </w:r>
            <w:r>
              <w:rPr>
                <w:noProof/>
                <w:webHidden/>
              </w:rPr>
              <w:fldChar w:fldCharType="end"/>
            </w:r>
          </w:hyperlink>
        </w:p>
        <w:p w14:paraId="7E9A5694" w14:textId="77B402F3" w:rsidR="0025369D" w:rsidRDefault="0025369D">
          <w:pPr>
            <w:pStyle w:val="TOC2"/>
            <w:tabs>
              <w:tab w:val="right" w:leader="dot" w:pos="9350"/>
            </w:tabs>
            <w:rPr>
              <w:rFonts w:cstheme="minorBidi"/>
              <w:noProof/>
            </w:rPr>
          </w:pPr>
          <w:hyperlink w:anchor="_Toc58588071" w:history="1">
            <w:r w:rsidRPr="00F35577">
              <w:rPr>
                <w:rStyle w:val="Hyperlink"/>
                <w:noProof/>
              </w:rPr>
              <w:t>I am using the De Minimis Indirect Cost rate. Does this have to be used in my other projects?</w:t>
            </w:r>
            <w:r>
              <w:rPr>
                <w:noProof/>
                <w:webHidden/>
              </w:rPr>
              <w:tab/>
            </w:r>
            <w:r>
              <w:rPr>
                <w:noProof/>
                <w:webHidden/>
              </w:rPr>
              <w:fldChar w:fldCharType="begin"/>
            </w:r>
            <w:r>
              <w:rPr>
                <w:noProof/>
                <w:webHidden/>
              </w:rPr>
              <w:instrText xml:space="preserve"> PAGEREF _Toc58588071 \h </w:instrText>
            </w:r>
            <w:r>
              <w:rPr>
                <w:noProof/>
                <w:webHidden/>
              </w:rPr>
            </w:r>
            <w:r>
              <w:rPr>
                <w:noProof/>
                <w:webHidden/>
              </w:rPr>
              <w:fldChar w:fldCharType="separate"/>
            </w:r>
            <w:r>
              <w:rPr>
                <w:noProof/>
                <w:webHidden/>
              </w:rPr>
              <w:t>7</w:t>
            </w:r>
            <w:r>
              <w:rPr>
                <w:noProof/>
                <w:webHidden/>
              </w:rPr>
              <w:fldChar w:fldCharType="end"/>
            </w:r>
          </w:hyperlink>
        </w:p>
        <w:p w14:paraId="01F85E09" w14:textId="3ADB13DE" w:rsidR="0025369D" w:rsidRDefault="0025369D">
          <w:pPr>
            <w:pStyle w:val="TOC2"/>
            <w:tabs>
              <w:tab w:val="right" w:leader="dot" w:pos="9350"/>
            </w:tabs>
            <w:rPr>
              <w:rFonts w:cstheme="minorBidi"/>
              <w:noProof/>
            </w:rPr>
          </w:pPr>
          <w:hyperlink w:anchor="_Toc58588072" w:history="1">
            <w:r w:rsidRPr="00F35577">
              <w:rPr>
                <w:rStyle w:val="Hyperlink"/>
                <w:noProof/>
              </w:rPr>
              <w:t>Can I submit reimbursement requests after my period of performance ends?</w:t>
            </w:r>
            <w:r>
              <w:rPr>
                <w:noProof/>
                <w:webHidden/>
              </w:rPr>
              <w:tab/>
            </w:r>
            <w:r>
              <w:rPr>
                <w:noProof/>
                <w:webHidden/>
              </w:rPr>
              <w:fldChar w:fldCharType="begin"/>
            </w:r>
            <w:r>
              <w:rPr>
                <w:noProof/>
                <w:webHidden/>
              </w:rPr>
              <w:instrText xml:space="preserve"> PAGEREF _Toc58588072 \h </w:instrText>
            </w:r>
            <w:r>
              <w:rPr>
                <w:noProof/>
                <w:webHidden/>
              </w:rPr>
            </w:r>
            <w:r>
              <w:rPr>
                <w:noProof/>
                <w:webHidden/>
              </w:rPr>
              <w:fldChar w:fldCharType="separate"/>
            </w:r>
            <w:r>
              <w:rPr>
                <w:noProof/>
                <w:webHidden/>
              </w:rPr>
              <w:t>7</w:t>
            </w:r>
            <w:r>
              <w:rPr>
                <w:noProof/>
                <w:webHidden/>
              </w:rPr>
              <w:fldChar w:fldCharType="end"/>
            </w:r>
          </w:hyperlink>
        </w:p>
        <w:p w14:paraId="303C32E5" w14:textId="496EF6B2" w:rsidR="0025369D" w:rsidRDefault="0025369D">
          <w:pPr>
            <w:pStyle w:val="TOC2"/>
            <w:tabs>
              <w:tab w:val="right" w:leader="dot" w:pos="9350"/>
            </w:tabs>
            <w:rPr>
              <w:rFonts w:cstheme="minorBidi"/>
              <w:noProof/>
            </w:rPr>
          </w:pPr>
          <w:hyperlink w:anchor="_Toc58588073" w:history="1">
            <w:r w:rsidRPr="00F35577">
              <w:rPr>
                <w:rStyle w:val="Hyperlink"/>
                <w:noProof/>
              </w:rPr>
              <w:t>Our program is in a shared office building with donated space. What documentation is required for use of donated space as in-kind match?</w:t>
            </w:r>
            <w:r>
              <w:rPr>
                <w:noProof/>
                <w:webHidden/>
              </w:rPr>
              <w:tab/>
            </w:r>
            <w:r>
              <w:rPr>
                <w:noProof/>
                <w:webHidden/>
              </w:rPr>
              <w:fldChar w:fldCharType="begin"/>
            </w:r>
            <w:r>
              <w:rPr>
                <w:noProof/>
                <w:webHidden/>
              </w:rPr>
              <w:instrText xml:space="preserve"> PAGEREF _Toc58588073 \h </w:instrText>
            </w:r>
            <w:r>
              <w:rPr>
                <w:noProof/>
                <w:webHidden/>
              </w:rPr>
            </w:r>
            <w:r>
              <w:rPr>
                <w:noProof/>
                <w:webHidden/>
              </w:rPr>
              <w:fldChar w:fldCharType="separate"/>
            </w:r>
            <w:r>
              <w:rPr>
                <w:noProof/>
                <w:webHidden/>
              </w:rPr>
              <w:t>7</w:t>
            </w:r>
            <w:r>
              <w:rPr>
                <w:noProof/>
                <w:webHidden/>
              </w:rPr>
              <w:fldChar w:fldCharType="end"/>
            </w:r>
          </w:hyperlink>
        </w:p>
        <w:p w14:paraId="10795ACE" w14:textId="4491A264" w:rsidR="0025369D" w:rsidRDefault="0025369D">
          <w:pPr>
            <w:pStyle w:val="TOC2"/>
            <w:tabs>
              <w:tab w:val="right" w:leader="dot" w:pos="9350"/>
            </w:tabs>
            <w:rPr>
              <w:rFonts w:cstheme="minorBidi"/>
              <w:noProof/>
            </w:rPr>
          </w:pPr>
          <w:hyperlink w:anchor="_Toc58588074" w:history="1">
            <w:r w:rsidRPr="00F35577">
              <w:rPr>
                <w:rStyle w:val="Hyperlink"/>
                <w:noProof/>
              </w:rPr>
              <w:t>What may be used to meet the match requirement for my project?</w:t>
            </w:r>
            <w:r>
              <w:rPr>
                <w:noProof/>
                <w:webHidden/>
              </w:rPr>
              <w:tab/>
            </w:r>
            <w:r>
              <w:rPr>
                <w:noProof/>
                <w:webHidden/>
              </w:rPr>
              <w:fldChar w:fldCharType="begin"/>
            </w:r>
            <w:r>
              <w:rPr>
                <w:noProof/>
                <w:webHidden/>
              </w:rPr>
              <w:instrText xml:space="preserve"> PAGEREF _Toc58588074 \h </w:instrText>
            </w:r>
            <w:r>
              <w:rPr>
                <w:noProof/>
                <w:webHidden/>
              </w:rPr>
            </w:r>
            <w:r>
              <w:rPr>
                <w:noProof/>
                <w:webHidden/>
              </w:rPr>
              <w:fldChar w:fldCharType="separate"/>
            </w:r>
            <w:r>
              <w:rPr>
                <w:noProof/>
                <w:webHidden/>
              </w:rPr>
              <w:t>7</w:t>
            </w:r>
            <w:r>
              <w:rPr>
                <w:noProof/>
                <w:webHidden/>
              </w:rPr>
              <w:fldChar w:fldCharType="end"/>
            </w:r>
          </w:hyperlink>
        </w:p>
        <w:p w14:paraId="1A9D52A0" w14:textId="207D9BEB" w:rsidR="0025369D" w:rsidRDefault="0025369D">
          <w:pPr>
            <w:pStyle w:val="TOC2"/>
            <w:tabs>
              <w:tab w:val="right" w:leader="dot" w:pos="9350"/>
            </w:tabs>
            <w:rPr>
              <w:rFonts w:cstheme="minorBidi"/>
              <w:noProof/>
            </w:rPr>
          </w:pPr>
          <w:hyperlink w:anchor="_Toc58588075" w:history="1">
            <w:r w:rsidRPr="00F35577">
              <w:rPr>
                <w:rStyle w:val="Hyperlink"/>
                <w:noProof/>
              </w:rPr>
              <w:t>Can volunteers be used as match?</w:t>
            </w:r>
            <w:r>
              <w:rPr>
                <w:noProof/>
                <w:webHidden/>
              </w:rPr>
              <w:tab/>
            </w:r>
            <w:r>
              <w:rPr>
                <w:noProof/>
                <w:webHidden/>
              </w:rPr>
              <w:fldChar w:fldCharType="begin"/>
            </w:r>
            <w:r>
              <w:rPr>
                <w:noProof/>
                <w:webHidden/>
              </w:rPr>
              <w:instrText xml:space="preserve"> PAGEREF _Toc58588075 \h </w:instrText>
            </w:r>
            <w:r>
              <w:rPr>
                <w:noProof/>
                <w:webHidden/>
              </w:rPr>
            </w:r>
            <w:r>
              <w:rPr>
                <w:noProof/>
                <w:webHidden/>
              </w:rPr>
              <w:fldChar w:fldCharType="separate"/>
            </w:r>
            <w:r>
              <w:rPr>
                <w:noProof/>
                <w:webHidden/>
              </w:rPr>
              <w:t>8</w:t>
            </w:r>
            <w:r>
              <w:rPr>
                <w:noProof/>
                <w:webHidden/>
              </w:rPr>
              <w:fldChar w:fldCharType="end"/>
            </w:r>
          </w:hyperlink>
        </w:p>
        <w:p w14:paraId="20778A09" w14:textId="3E824BCF" w:rsidR="0025369D" w:rsidRDefault="0025369D">
          <w:pPr>
            <w:pStyle w:val="TOC2"/>
            <w:tabs>
              <w:tab w:val="right" w:leader="dot" w:pos="9350"/>
            </w:tabs>
            <w:rPr>
              <w:rFonts w:cstheme="minorBidi"/>
              <w:noProof/>
            </w:rPr>
          </w:pPr>
          <w:hyperlink w:anchor="_Toc58588076" w:history="1">
            <w:r w:rsidRPr="00F35577">
              <w:rPr>
                <w:rStyle w:val="Hyperlink"/>
                <w:noProof/>
              </w:rPr>
              <w:t>What recordkeeping requirements apply to project match?</w:t>
            </w:r>
            <w:r>
              <w:rPr>
                <w:noProof/>
                <w:webHidden/>
              </w:rPr>
              <w:tab/>
            </w:r>
            <w:r>
              <w:rPr>
                <w:noProof/>
                <w:webHidden/>
              </w:rPr>
              <w:fldChar w:fldCharType="begin"/>
            </w:r>
            <w:r>
              <w:rPr>
                <w:noProof/>
                <w:webHidden/>
              </w:rPr>
              <w:instrText xml:space="preserve"> PAGEREF _Toc58588076 \h </w:instrText>
            </w:r>
            <w:r>
              <w:rPr>
                <w:noProof/>
                <w:webHidden/>
              </w:rPr>
            </w:r>
            <w:r>
              <w:rPr>
                <w:noProof/>
                <w:webHidden/>
              </w:rPr>
              <w:fldChar w:fldCharType="separate"/>
            </w:r>
            <w:r>
              <w:rPr>
                <w:noProof/>
                <w:webHidden/>
              </w:rPr>
              <w:t>8</w:t>
            </w:r>
            <w:r>
              <w:rPr>
                <w:noProof/>
                <w:webHidden/>
              </w:rPr>
              <w:fldChar w:fldCharType="end"/>
            </w:r>
          </w:hyperlink>
        </w:p>
        <w:p w14:paraId="24F740CE" w14:textId="0FCA4391" w:rsidR="0025369D" w:rsidRDefault="0025369D">
          <w:pPr>
            <w:pStyle w:val="TOC2"/>
            <w:tabs>
              <w:tab w:val="right" w:leader="dot" w:pos="9350"/>
            </w:tabs>
            <w:rPr>
              <w:rFonts w:cstheme="minorBidi"/>
              <w:noProof/>
            </w:rPr>
          </w:pPr>
          <w:hyperlink w:anchor="_Toc58588077" w:history="1">
            <w:r w:rsidRPr="00F35577">
              <w:rPr>
                <w:rStyle w:val="Hyperlink"/>
                <w:noProof/>
              </w:rPr>
              <w:t>What is the difference between sub-awarding and contracting?</w:t>
            </w:r>
            <w:r>
              <w:rPr>
                <w:noProof/>
                <w:webHidden/>
              </w:rPr>
              <w:tab/>
            </w:r>
            <w:r>
              <w:rPr>
                <w:noProof/>
                <w:webHidden/>
              </w:rPr>
              <w:fldChar w:fldCharType="begin"/>
            </w:r>
            <w:r>
              <w:rPr>
                <w:noProof/>
                <w:webHidden/>
              </w:rPr>
              <w:instrText xml:space="preserve"> PAGEREF _Toc58588077 \h </w:instrText>
            </w:r>
            <w:r>
              <w:rPr>
                <w:noProof/>
                <w:webHidden/>
              </w:rPr>
            </w:r>
            <w:r>
              <w:rPr>
                <w:noProof/>
                <w:webHidden/>
              </w:rPr>
              <w:fldChar w:fldCharType="separate"/>
            </w:r>
            <w:r>
              <w:rPr>
                <w:noProof/>
                <w:webHidden/>
              </w:rPr>
              <w:t>8</w:t>
            </w:r>
            <w:r>
              <w:rPr>
                <w:noProof/>
                <w:webHidden/>
              </w:rPr>
              <w:fldChar w:fldCharType="end"/>
            </w:r>
          </w:hyperlink>
        </w:p>
        <w:p w14:paraId="3C7DE7E4" w14:textId="08C0A483" w:rsidR="0025369D" w:rsidRDefault="0025369D">
          <w:pPr>
            <w:pStyle w:val="TOC2"/>
            <w:tabs>
              <w:tab w:val="right" w:leader="dot" w:pos="9350"/>
            </w:tabs>
            <w:rPr>
              <w:rFonts w:cstheme="minorBidi"/>
              <w:noProof/>
            </w:rPr>
          </w:pPr>
          <w:hyperlink w:anchor="_Toc58588078" w:history="1">
            <w:r w:rsidRPr="00F35577">
              <w:rPr>
                <w:rStyle w:val="Hyperlink"/>
                <w:noProof/>
              </w:rPr>
              <w:t>What is supplanting?  How do I avoid it?</w:t>
            </w:r>
            <w:r>
              <w:rPr>
                <w:noProof/>
                <w:webHidden/>
              </w:rPr>
              <w:tab/>
            </w:r>
            <w:r>
              <w:rPr>
                <w:noProof/>
                <w:webHidden/>
              </w:rPr>
              <w:fldChar w:fldCharType="begin"/>
            </w:r>
            <w:r>
              <w:rPr>
                <w:noProof/>
                <w:webHidden/>
              </w:rPr>
              <w:instrText xml:space="preserve"> PAGEREF _Toc58588078 \h </w:instrText>
            </w:r>
            <w:r>
              <w:rPr>
                <w:noProof/>
                <w:webHidden/>
              </w:rPr>
            </w:r>
            <w:r>
              <w:rPr>
                <w:noProof/>
                <w:webHidden/>
              </w:rPr>
              <w:fldChar w:fldCharType="separate"/>
            </w:r>
            <w:r>
              <w:rPr>
                <w:noProof/>
                <w:webHidden/>
              </w:rPr>
              <w:t>8</w:t>
            </w:r>
            <w:r>
              <w:rPr>
                <w:noProof/>
                <w:webHidden/>
              </w:rPr>
              <w:fldChar w:fldCharType="end"/>
            </w:r>
          </w:hyperlink>
        </w:p>
        <w:p w14:paraId="4535F37D" w14:textId="0DFCF36D" w:rsidR="0025369D" w:rsidRDefault="0025369D">
          <w:pPr>
            <w:pStyle w:val="TOC1"/>
            <w:tabs>
              <w:tab w:val="right" w:leader="dot" w:pos="9350"/>
            </w:tabs>
            <w:rPr>
              <w:rFonts w:cstheme="minorBidi"/>
              <w:noProof/>
            </w:rPr>
          </w:pPr>
          <w:hyperlink w:anchor="_Toc58588079" w:history="1">
            <w:r w:rsidRPr="00F35577">
              <w:rPr>
                <w:rStyle w:val="Hyperlink"/>
                <w:noProof/>
              </w:rPr>
              <w:t>General Questions</w:t>
            </w:r>
            <w:r>
              <w:rPr>
                <w:noProof/>
                <w:webHidden/>
              </w:rPr>
              <w:tab/>
            </w:r>
            <w:r>
              <w:rPr>
                <w:noProof/>
                <w:webHidden/>
              </w:rPr>
              <w:fldChar w:fldCharType="begin"/>
            </w:r>
            <w:r>
              <w:rPr>
                <w:noProof/>
                <w:webHidden/>
              </w:rPr>
              <w:instrText xml:space="preserve"> PAGEREF _Toc58588079 \h </w:instrText>
            </w:r>
            <w:r>
              <w:rPr>
                <w:noProof/>
                <w:webHidden/>
              </w:rPr>
            </w:r>
            <w:r>
              <w:rPr>
                <w:noProof/>
                <w:webHidden/>
              </w:rPr>
              <w:fldChar w:fldCharType="separate"/>
            </w:r>
            <w:r>
              <w:rPr>
                <w:noProof/>
                <w:webHidden/>
              </w:rPr>
              <w:t>9</w:t>
            </w:r>
            <w:r>
              <w:rPr>
                <w:noProof/>
                <w:webHidden/>
              </w:rPr>
              <w:fldChar w:fldCharType="end"/>
            </w:r>
          </w:hyperlink>
        </w:p>
        <w:p w14:paraId="41CADE33" w14:textId="146D9542" w:rsidR="0025369D" w:rsidRDefault="0025369D">
          <w:pPr>
            <w:pStyle w:val="TOC2"/>
            <w:tabs>
              <w:tab w:val="right" w:leader="dot" w:pos="9350"/>
            </w:tabs>
            <w:rPr>
              <w:rFonts w:cstheme="minorBidi"/>
              <w:noProof/>
            </w:rPr>
          </w:pPr>
          <w:hyperlink w:anchor="_Toc58588080" w:history="1">
            <w:r w:rsidRPr="00F35577">
              <w:rPr>
                <w:rStyle w:val="Hyperlink"/>
                <w:noProof/>
              </w:rPr>
              <w:t>Is there a specific way that we should name and number the application attachments?</w:t>
            </w:r>
            <w:r>
              <w:rPr>
                <w:noProof/>
                <w:webHidden/>
              </w:rPr>
              <w:tab/>
            </w:r>
            <w:r>
              <w:rPr>
                <w:noProof/>
                <w:webHidden/>
              </w:rPr>
              <w:fldChar w:fldCharType="begin"/>
            </w:r>
            <w:r>
              <w:rPr>
                <w:noProof/>
                <w:webHidden/>
              </w:rPr>
              <w:instrText xml:space="preserve"> PAGEREF _Toc58588080 \h </w:instrText>
            </w:r>
            <w:r>
              <w:rPr>
                <w:noProof/>
                <w:webHidden/>
              </w:rPr>
            </w:r>
            <w:r>
              <w:rPr>
                <w:noProof/>
                <w:webHidden/>
              </w:rPr>
              <w:fldChar w:fldCharType="separate"/>
            </w:r>
            <w:r>
              <w:rPr>
                <w:noProof/>
                <w:webHidden/>
              </w:rPr>
              <w:t>9</w:t>
            </w:r>
            <w:r>
              <w:rPr>
                <w:noProof/>
                <w:webHidden/>
              </w:rPr>
              <w:fldChar w:fldCharType="end"/>
            </w:r>
          </w:hyperlink>
        </w:p>
        <w:p w14:paraId="1EBB1190" w14:textId="0BFAA6EF" w:rsidR="0025369D" w:rsidRDefault="0025369D">
          <w:pPr>
            <w:pStyle w:val="TOC2"/>
            <w:tabs>
              <w:tab w:val="right" w:leader="dot" w:pos="9350"/>
            </w:tabs>
            <w:rPr>
              <w:rFonts w:cstheme="minorBidi"/>
              <w:noProof/>
            </w:rPr>
          </w:pPr>
          <w:hyperlink w:anchor="_Toc58588081" w:history="1">
            <w:r w:rsidRPr="00F35577">
              <w:rPr>
                <w:rStyle w:val="Hyperlink"/>
                <w:noProof/>
              </w:rPr>
              <w:t>Am I required to use the forms (ex. Detailed Budget Narrative Form) that are outlined in the RFAs as Required Supporting Documents and located on the GCC website?</w:t>
            </w:r>
            <w:r>
              <w:rPr>
                <w:noProof/>
                <w:webHidden/>
              </w:rPr>
              <w:tab/>
            </w:r>
            <w:r>
              <w:rPr>
                <w:noProof/>
                <w:webHidden/>
              </w:rPr>
              <w:fldChar w:fldCharType="begin"/>
            </w:r>
            <w:r>
              <w:rPr>
                <w:noProof/>
                <w:webHidden/>
              </w:rPr>
              <w:instrText xml:space="preserve"> PAGEREF _Toc58588081 \h </w:instrText>
            </w:r>
            <w:r>
              <w:rPr>
                <w:noProof/>
                <w:webHidden/>
              </w:rPr>
            </w:r>
            <w:r>
              <w:rPr>
                <w:noProof/>
                <w:webHidden/>
              </w:rPr>
              <w:fldChar w:fldCharType="separate"/>
            </w:r>
            <w:r>
              <w:rPr>
                <w:noProof/>
                <w:webHidden/>
              </w:rPr>
              <w:t>9</w:t>
            </w:r>
            <w:r>
              <w:rPr>
                <w:noProof/>
                <w:webHidden/>
              </w:rPr>
              <w:fldChar w:fldCharType="end"/>
            </w:r>
          </w:hyperlink>
        </w:p>
        <w:p w14:paraId="099D7C49" w14:textId="0C7C4813" w:rsidR="0025369D" w:rsidRDefault="0025369D">
          <w:pPr>
            <w:pStyle w:val="TOC2"/>
            <w:tabs>
              <w:tab w:val="right" w:leader="dot" w:pos="9350"/>
            </w:tabs>
            <w:rPr>
              <w:rFonts w:cstheme="minorBidi"/>
              <w:noProof/>
            </w:rPr>
          </w:pPr>
          <w:hyperlink w:anchor="_Toc58588082" w:history="1">
            <w:r w:rsidRPr="00F35577">
              <w:rPr>
                <w:rStyle w:val="Hyperlink"/>
                <w:noProof/>
              </w:rPr>
              <w:t>Can I apply for both VOCA and STOP funding to support the same program for my organization?</w:t>
            </w:r>
            <w:r>
              <w:rPr>
                <w:noProof/>
                <w:webHidden/>
              </w:rPr>
              <w:tab/>
            </w:r>
            <w:r>
              <w:rPr>
                <w:noProof/>
                <w:webHidden/>
              </w:rPr>
              <w:fldChar w:fldCharType="begin"/>
            </w:r>
            <w:r>
              <w:rPr>
                <w:noProof/>
                <w:webHidden/>
              </w:rPr>
              <w:instrText xml:space="preserve"> PAGEREF _Toc58588082 \h </w:instrText>
            </w:r>
            <w:r>
              <w:rPr>
                <w:noProof/>
                <w:webHidden/>
              </w:rPr>
            </w:r>
            <w:r>
              <w:rPr>
                <w:noProof/>
                <w:webHidden/>
              </w:rPr>
              <w:fldChar w:fldCharType="separate"/>
            </w:r>
            <w:r>
              <w:rPr>
                <w:noProof/>
                <w:webHidden/>
              </w:rPr>
              <w:t>9</w:t>
            </w:r>
            <w:r>
              <w:rPr>
                <w:noProof/>
                <w:webHidden/>
              </w:rPr>
              <w:fldChar w:fldCharType="end"/>
            </w:r>
          </w:hyperlink>
        </w:p>
        <w:p w14:paraId="79B5AE1E" w14:textId="52B8C9FE" w:rsidR="0025369D" w:rsidRDefault="0025369D">
          <w:pPr>
            <w:pStyle w:val="TOC2"/>
            <w:tabs>
              <w:tab w:val="right" w:leader="dot" w:pos="9350"/>
            </w:tabs>
            <w:rPr>
              <w:rFonts w:cstheme="minorBidi"/>
              <w:noProof/>
            </w:rPr>
          </w:pPr>
          <w:hyperlink w:anchor="_Toc58588083" w:history="1">
            <w:r w:rsidRPr="00F35577">
              <w:rPr>
                <w:rStyle w:val="Hyperlink"/>
                <w:noProof/>
              </w:rPr>
              <w:t>Can you use volunteers in a project but not use them as in-kind match?</w:t>
            </w:r>
            <w:r>
              <w:rPr>
                <w:noProof/>
                <w:webHidden/>
              </w:rPr>
              <w:tab/>
            </w:r>
            <w:r>
              <w:rPr>
                <w:noProof/>
                <w:webHidden/>
              </w:rPr>
              <w:fldChar w:fldCharType="begin"/>
            </w:r>
            <w:r>
              <w:rPr>
                <w:noProof/>
                <w:webHidden/>
              </w:rPr>
              <w:instrText xml:space="preserve"> PAGEREF _Toc58588083 \h </w:instrText>
            </w:r>
            <w:r>
              <w:rPr>
                <w:noProof/>
                <w:webHidden/>
              </w:rPr>
            </w:r>
            <w:r>
              <w:rPr>
                <w:noProof/>
                <w:webHidden/>
              </w:rPr>
              <w:fldChar w:fldCharType="separate"/>
            </w:r>
            <w:r>
              <w:rPr>
                <w:noProof/>
                <w:webHidden/>
              </w:rPr>
              <w:t>9</w:t>
            </w:r>
            <w:r>
              <w:rPr>
                <w:noProof/>
                <w:webHidden/>
              </w:rPr>
              <w:fldChar w:fldCharType="end"/>
            </w:r>
          </w:hyperlink>
        </w:p>
        <w:p w14:paraId="49E5BE8B" w14:textId="10FE7D67" w:rsidR="0025369D" w:rsidRDefault="0025369D">
          <w:pPr>
            <w:pStyle w:val="TOC2"/>
            <w:tabs>
              <w:tab w:val="right" w:leader="dot" w:pos="9350"/>
            </w:tabs>
            <w:rPr>
              <w:rFonts w:cstheme="minorBidi"/>
              <w:noProof/>
            </w:rPr>
          </w:pPr>
          <w:hyperlink w:anchor="_Toc58588084" w:history="1">
            <w:r w:rsidRPr="00F35577">
              <w:rPr>
                <w:rStyle w:val="Hyperlink"/>
                <w:noProof/>
              </w:rPr>
              <w:t>If my agency is faith-based, can funds be used specifically for the religious activities offered?</w:t>
            </w:r>
            <w:r>
              <w:rPr>
                <w:noProof/>
                <w:webHidden/>
              </w:rPr>
              <w:tab/>
            </w:r>
            <w:r>
              <w:rPr>
                <w:noProof/>
                <w:webHidden/>
              </w:rPr>
              <w:fldChar w:fldCharType="begin"/>
            </w:r>
            <w:r>
              <w:rPr>
                <w:noProof/>
                <w:webHidden/>
              </w:rPr>
              <w:instrText xml:space="preserve"> PAGEREF _Toc58588084 \h </w:instrText>
            </w:r>
            <w:r>
              <w:rPr>
                <w:noProof/>
                <w:webHidden/>
              </w:rPr>
            </w:r>
            <w:r>
              <w:rPr>
                <w:noProof/>
                <w:webHidden/>
              </w:rPr>
              <w:fldChar w:fldCharType="separate"/>
            </w:r>
            <w:r>
              <w:rPr>
                <w:noProof/>
                <w:webHidden/>
              </w:rPr>
              <w:t>9</w:t>
            </w:r>
            <w:r>
              <w:rPr>
                <w:noProof/>
                <w:webHidden/>
              </w:rPr>
              <w:fldChar w:fldCharType="end"/>
            </w:r>
          </w:hyperlink>
        </w:p>
        <w:p w14:paraId="0DCBA7E7" w14:textId="06118FF9" w:rsidR="0025369D" w:rsidRDefault="0025369D">
          <w:pPr>
            <w:pStyle w:val="TOC2"/>
            <w:tabs>
              <w:tab w:val="right" w:leader="dot" w:pos="9350"/>
            </w:tabs>
            <w:rPr>
              <w:rFonts w:cstheme="minorBidi"/>
              <w:noProof/>
            </w:rPr>
          </w:pPr>
          <w:hyperlink w:anchor="_Toc58588085" w:history="1">
            <w:r w:rsidRPr="00F35577">
              <w:rPr>
                <w:rStyle w:val="Hyperlink"/>
                <w:noProof/>
              </w:rPr>
              <w:t>If a victim resides in a county outside of where my agency is established, is my agency responsible for providing services?</w:t>
            </w:r>
            <w:r>
              <w:rPr>
                <w:noProof/>
                <w:webHidden/>
              </w:rPr>
              <w:tab/>
            </w:r>
            <w:r>
              <w:rPr>
                <w:noProof/>
                <w:webHidden/>
              </w:rPr>
              <w:fldChar w:fldCharType="begin"/>
            </w:r>
            <w:r>
              <w:rPr>
                <w:noProof/>
                <w:webHidden/>
              </w:rPr>
              <w:instrText xml:space="preserve"> PAGEREF _Toc58588085 \h </w:instrText>
            </w:r>
            <w:r>
              <w:rPr>
                <w:noProof/>
                <w:webHidden/>
              </w:rPr>
            </w:r>
            <w:r>
              <w:rPr>
                <w:noProof/>
                <w:webHidden/>
              </w:rPr>
              <w:fldChar w:fldCharType="separate"/>
            </w:r>
            <w:r>
              <w:rPr>
                <w:noProof/>
                <w:webHidden/>
              </w:rPr>
              <w:t>9</w:t>
            </w:r>
            <w:r>
              <w:rPr>
                <w:noProof/>
                <w:webHidden/>
              </w:rPr>
              <w:fldChar w:fldCharType="end"/>
            </w:r>
          </w:hyperlink>
        </w:p>
        <w:p w14:paraId="58F4EE62" w14:textId="30B7CF6C" w:rsidR="0025369D" w:rsidRDefault="0025369D">
          <w:pPr>
            <w:pStyle w:val="TOC2"/>
            <w:tabs>
              <w:tab w:val="right" w:leader="dot" w:pos="9350"/>
            </w:tabs>
            <w:rPr>
              <w:rFonts w:cstheme="minorBidi"/>
              <w:noProof/>
            </w:rPr>
          </w:pPr>
          <w:hyperlink w:anchor="_Toc58588086" w:history="1">
            <w:r w:rsidRPr="00F35577">
              <w:rPr>
                <w:rStyle w:val="Hyperlink"/>
                <w:noProof/>
              </w:rPr>
              <w:t>I am an Executive Director funded through GCC-administered grants. Can my position be 100% funded through our projects?</w:t>
            </w:r>
            <w:r>
              <w:rPr>
                <w:noProof/>
                <w:webHidden/>
              </w:rPr>
              <w:tab/>
            </w:r>
            <w:r>
              <w:rPr>
                <w:noProof/>
                <w:webHidden/>
              </w:rPr>
              <w:fldChar w:fldCharType="begin"/>
            </w:r>
            <w:r>
              <w:rPr>
                <w:noProof/>
                <w:webHidden/>
              </w:rPr>
              <w:instrText xml:space="preserve"> PAGEREF _Toc58588086 \h </w:instrText>
            </w:r>
            <w:r>
              <w:rPr>
                <w:noProof/>
                <w:webHidden/>
              </w:rPr>
            </w:r>
            <w:r>
              <w:rPr>
                <w:noProof/>
                <w:webHidden/>
              </w:rPr>
              <w:fldChar w:fldCharType="separate"/>
            </w:r>
            <w:r>
              <w:rPr>
                <w:noProof/>
                <w:webHidden/>
              </w:rPr>
              <w:t>9</w:t>
            </w:r>
            <w:r>
              <w:rPr>
                <w:noProof/>
                <w:webHidden/>
              </w:rPr>
              <w:fldChar w:fldCharType="end"/>
            </w:r>
          </w:hyperlink>
        </w:p>
        <w:p w14:paraId="4769F88C" w14:textId="59324800" w:rsidR="0025369D" w:rsidRDefault="0025369D">
          <w:pPr>
            <w:pStyle w:val="TOC2"/>
            <w:tabs>
              <w:tab w:val="right" w:leader="dot" w:pos="9350"/>
            </w:tabs>
            <w:rPr>
              <w:rFonts w:cstheme="minorBidi"/>
              <w:noProof/>
            </w:rPr>
          </w:pPr>
          <w:hyperlink w:anchor="_Toc58588087" w:history="1">
            <w:r w:rsidRPr="00F35577">
              <w:rPr>
                <w:rStyle w:val="Hyperlink"/>
                <w:noProof/>
              </w:rPr>
              <w:t>Does immigration status impact whether a victim is eligible for services?</w:t>
            </w:r>
            <w:r>
              <w:rPr>
                <w:noProof/>
                <w:webHidden/>
              </w:rPr>
              <w:tab/>
            </w:r>
            <w:r>
              <w:rPr>
                <w:noProof/>
                <w:webHidden/>
              </w:rPr>
              <w:fldChar w:fldCharType="begin"/>
            </w:r>
            <w:r>
              <w:rPr>
                <w:noProof/>
                <w:webHidden/>
              </w:rPr>
              <w:instrText xml:space="preserve"> PAGEREF _Toc58588087 \h </w:instrText>
            </w:r>
            <w:r>
              <w:rPr>
                <w:noProof/>
                <w:webHidden/>
              </w:rPr>
            </w:r>
            <w:r>
              <w:rPr>
                <w:noProof/>
                <w:webHidden/>
              </w:rPr>
              <w:fldChar w:fldCharType="separate"/>
            </w:r>
            <w:r>
              <w:rPr>
                <w:noProof/>
                <w:webHidden/>
              </w:rPr>
              <w:t>10</w:t>
            </w:r>
            <w:r>
              <w:rPr>
                <w:noProof/>
                <w:webHidden/>
              </w:rPr>
              <w:fldChar w:fldCharType="end"/>
            </w:r>
          </w:hyperlink>
        </w:p>
        <w:p w14:paraId="4770EF9F" w14:textId="45A17935" w:rsidR="0025369D" w:rsidRDefault="0025369D">
          <w:pPr>
            <w:pStyle w:val="TOC2"/>
            <w:tabs>
              <w:tab w:val="right" w:leader="dot" w:pos="9350"/>
            </w:tabs>
            <w:rPr>
              <w:rFonts w:cstheme="minorBidi"/>
              <w:noProof/>
            </w:rPr>
          </w:pPr>
          <w:hyperlink w:anchor="_Toc58588088" w:history="1">
            <w:r w:rsidRPr="00F35577">
              <w:rPr>
                <w:rStyle w:val="Hyperlink"/>
                <w:noProof/>
              </w:rPr>
              <w:t>Can my grant be used to purchase food?</w:t>
            </w:r>
            <w:r>
              <w:rPr>
                <w:noProof/>
                <w:webHidden/>
              </w:rPr>
              <w:tab/>
            </w:r>
            <w:r>
              <w:rPr>
                <w:noProof/>
                <w:webHidden/>
              </w:rPr>
              <w:fldChar w:fldCharType="begin"/>
            </w:r>
            <w:r>
              <w:rPr>
                <w:noProof/>
                <w:webHidden/>
              </w:rPr>
              <w:instrText xml:space="preserve"> PAGEREF _Toc58588088 \h </w:instrText>
            </w:r>
            <w:r>
              <w:rPr>
                <w:noProof/>
                <w:webHidden/>
              </w:rPr>
            </w:r>
            <w:r>
              <w:rPr>
                <w:noProof/>
                <w:webHidden/>
              </w:rPr>
              <w:fldChar w:fldCharType="separate"/>
            </w:r>
            <w:r>
              <w:rPr>
                <w:noProof/>
                <w:webHidden/>
              </w:rPr>
              <w:t>10</w:t>
            </w:r>
            <w:r>
              <w:rPr>
                <w:noProof/>
                <w:webHidden/>
              </w:rPr>
              <w:fldChar w:fldCharType="end"/>
            </w:r>
          </w:hyperlink>
        </w:p>
        <w:p w14:paraId="52A57BA8" w14:textId="093C2389" w:rsidR="0025369D" w:rsidRDefault="0025369D">
          <w:pPr>
            <w:pStyle w:val="TOC2"/>
            <w:tabs>
              <w:tab w:val="right" w:leader="dot" w:pos="9350"/>
            </w:tabs>
            <w:rPr>
              <w:rFonts w:cstheme="minorBidi"/>
              <w:noProof/>
            </w:rPr>
          </w:pPr>
          <w:hyperlink w:anchor="_Toc58588089" w:history="1">
            <w:r w:rsidRPr="00F35577">
              <w:rPr>
                <w:rStyle w:val="Hyperlink"/>
                <w:noProof/>
              </w:rPr>
              <w:t>What documentation do I need to support my agency’s use of gas cards or bus cards?</w:t>
            </w:r>
            <w:r>
              <w:rPr>
                <w:noProof/>
                <w:webHidden/>
              </w:rPr>
              <w:tab/>
            </w:r>
            <w:r>
              <w:rPr>
                <w:noProof/>
                <w:webHidden/>
              </w:rPr>
              <w:fldChar w:fldCharType="begin"/>
            </w:r>
            <w:r>
              <w:rPr>
                <w:noProof/>
                <w:webHidden/>
              </w:rPr>
              <w:instrText xml:space="preserve"> PAGEREF _Toc58588089 \h </w:instrText>
            </w:r>
            <w:r>
              <w:rPr>
                <w:noProof/>
                <w:webHidden/>
              </w:rPr>
            </w:r>
            <w:r>
              <w:rPr>
                <w:noProof/>
                <w:webHidden/>
              </w:rPr>
              <w:fldChar w:fldCharType="separate"/>
            </w:r>
            <w:r>
              <w:rPr>
                <w:noProof/>
                <w:webHidden/>
              </w:rPr>
              <w:t>10</w:t>
            </w:r>
            <w:r>
              <w:rPr>
                <w:noProof/>
                <w:webHidden/>
              </w:rPr>
              <w:fldChar w:fldCharType="end"/>
            </w:r>
          </w:hyperlink>
        </w:p>
        <w:p w14:paraId="3185AE27" w14:textId="36A16D61" w:rsidR="0025369D" w:rsidRDefault="0025369D">
          <w:pPr>
            <w:pStyle w:val="TOC2"/>
            <w:tabs>
              <w:tab w:val="right" w:leader="dot" w:pos="9350"/>
            </w:tabs>
            <w:rPr>
              <w:rFonts w:cstheme="minorBidi"/>
              <w:noProof/>
            </w:rPr>
          </w:pPr>
          <w:hyperlink w:anchor="_Toc58588090" w:history="1">
            <w:r w:rsidRPr="00F35577">
              <w:rPr>
                <w:rStyle w:val="Hyperlink"/>
                <w:noProof/>
              </w:rPr>
              <w:t>Can grants supporting law enforcement be used to purchase standard issued law enforcement items, such as uniforms, vests, shields, weapons, bullets, and armory?</w:t>
            </w:r>
            <w:r>
              <w:rPr>
                <w:noProof/>
                <w:webHidden/>
              </w:rPr>
              <w:tab/>
            </w:r>
            <w:r>
              <w:rPr>
                <w:noProof/>
                <w:webHidden/>
              </w:rPr>
              <w:fldChar w:fldCharType="begin"/>
            </w:r>
            <w:r>
              <w:rPr>
                <w:noProof/>
                <w:webHidden/>
              </w:rPr>
              <w:instrText xml:space="preserve"> PAGEREF _Toc58588090 \h </w:instrText>
            </w:r>
            <w:r>
              <w:rPr>
                <w:noProof/>
                <w:webHidden/>
              </w:rPr>
            </w:r>
            <w:r>
              <w:rPr>
                <w:noProof/>
                <w:webHidden/>
              </w:rPr>
              <w:fldChar w:fldCharType="separate"/>
            </w:r>
            <w:r>
              <w:rPr>
                <w:noProof/>
                <w:webHidden/>
              </w:rPr>
              <w:t>10</w:t>
            </w:r>
            <w:r>
              <w:rPr>
                <w:noProof/>
                <w:webHidden/>
              </w:rPr>
              <w:fldChar w:fldCharType="end"/>
            </w:r>
          </w:hyperlink>
        </w:p>
        <w:p w14:paraId="7076EB00" w14:textId="24755764" w:rsidR="0025369D" w:rsidRDefault="0025369D">
          <w:pPr>
            <w:pStyle w:val="TOC2"/>
            <w:tabs>
              <w:tab w:val="right" w:leader="dot" w:pos="9350"/>
            </w:tabs>
            <w:rPr>
              <w:rFonts w:cstheme="minorBidi"/>
              <w:noProof/>
            </w:rPr>
          </w:pPr>
          <w:hyperlink w:anchor="_Toc58588091" w:history="1">
            <w:r w:rsidRPr="00F35577">
              <w:rPr>
                <w:rStyle w:val="Hyperlink"/>
                <w:noProof/>
              </w:rPr>
              <w:t>What research and evaluation costs can be supported with my grant?</w:t>
            </w:r>
            <w:r>
              <w:rPr>
                <w:noProof/>
                <w:webHidden/>
              </w:rPr>
              <w:tab/>
            </w:r>
            <w:r>
              <w:rPr>
                <w:noProof/>
                <w:webHidden/>
              </w:rPr>
              <w:fldChar w:fldCharType="begin"/>
            </w:r>
            <w:r>
              <w:rPr>
                <w:noProof/>
                <w:webHidden/>
              </w:rPr>
              <w:instrText xml:space="preserve"> PAGEREF _Toc58588091 \h </w:instrText>
            </w:r>
            <w:r>
              <w:rPr>
                <w:noProof/>
                <w:webHidden/>
              </w:rPr>
            </w:r>
            <w:r>
              <w:rPr>
                <w:noProof/>
                <w:webHidden/>
              </w:rPr>
              <w:fldChar w:fldCharType="separate"/>
            </w:r>
            <w:r>
              <w:rPr>
                <w:noProof/>
                <w:webHidden/>
              </w:rPr>
              <w:t>10</w:t>
            </w:r>
            <w:r>
              <w:rPr>
                <w:noProof/>
                <w:webHidden/>
              </w:rPr>
              <w:fldChar w:fldCharType="end"/>
            </w:r>
          </w:hyperlink>
        </w:p>
        <w:p w14:paraId="1D22613A" w14:textId="4346D1F3" w:rsidR="0025369D" w:rsidRDefault="0025369D">
          <w:pPr>
            <w:pStyle w:val="TOC1"/>
            <w:tabs>
              <w:tab w:val="right" w:leader="dot" w:pos="9350"/>
            </w:tabs>
            <w:rPr>
              <w:rFonts w:cstheme="minorBidi"/>
              <w:noProof/>
            </w:rPr>
          </w:pPr>
          <w:hyperlink w:anchor="_Toc58588092" w:history="1">
            <w:r w:rsidRPr="00F35577">
              <w:rPr>
                <w:rStyle w:val="Hyperlink"/>
                <w:noProof/>
              </w:rPr>
              <w:t>VOCA-Specific Questions</w:t>
            </w:r>
            <w:r>
              <w:rPr>
                <w:noProof/>
                <w:webHidden/>
              </w:rPr>
              <w:tab/>
            </w:r>
            <w:r>
              <w:rPr>
                <w:noProof/>
                <w:webHidden/>
              </w:rPr>
              <w:fldChar w:fldCharType="begin"/>
            </w:r>
            <w:r>
              <w:rPr>
                <w:noProof/>
                <w:webHidden/>
              </w:rPr>
              <w:instrText xml:space="preserve"> PAGEREF _Toc58588092 \h </w:instrText>
            </w:r>
            <w:r>
              <w:rPr>
                <w:noProof/>
                <w:webHidden/>
              </w:rPr>
            </w:r>
            <w:r>
              <w:rPr>
                <w:noProof/>
                <w:webHidden/>
              </w:rPr>
              <w:fldChar w:fldCharType="separate"/>
            </w:r>
            <w:r>
              <w:rPr>
                <w:noProof/>
                <w:webHidden/>
              </w:rPr>
              <w:t>10</w:t>
            </w:r>
            <w:r>
              <w:rPr>
                <w:noProof/>
                <w:webHidden/>
              </w:rPr>
              <w:fldChar w:fldCharType="end"/>
            </w:r>
          </w:hyperlink>
        </w:p>
        <w:p w14:paraId="4AF8BC38" w14:textId="04657E6E" w:rsidR="0025369D" w:rsidRDefault="0025369D">
          <w:pPr>
            <w:pStyle w:val="TOC2"/>
            <w:tabs>
              <w:tab w:val="right" w:leader="dot" w:pos="9350"/>
            </w:tabs>
            <w:rPr>
              <w:rFonts w:cstheme="minorBidi"/>
              <w:noProof/>
            </w:rPr>
          </w:pPr>
          <w:hyperlink w:anchor="_Toc58588093" w:history="1">
            <w:r w:rsidRPr="00F35577">
              <w:rPr>
                <w:rStyle w:val="Hyperlink"/>
                <w:noProof/>
              </w:rPr>
              <w:t>Are there funding caps or growth limits for the competitive VOCA priorities?</w:t>
            </w:r>
            <w:r>
              <w:rPr>
                <w:noProof/>
                <w:webHidden/>
              </w:rPr>
              <w:tab/>
            </w:r>
            <w:r>
              <w:rPr>
                <w:noProof/>
                <w:webHidden/>
              </w:rPr>
              <w:fldChar w:fldCharType="begin"/>
            </w:r>
            <w:r>
              <w:rPr>
                <w:noProof/>
                <w:webHidden/>
              </w:rPr>
              <w:instrText xml:space="preserve"> PAGEREF _Toc58588093 \h </w:instrText>
            </w:r>
            <w:r>
              <w:rPr>
                <w:noProof/>
                <w:webHidden/>
              </w:rPr>
            </w:r>
            <w:r>
              <w:rPr>
                <w:noProof/>
                <w:webHidden/>
              </w:rPr>
              <w:fldChar w:fldCharType="separate"/>
            </w:r>
            <w:r>
              <w:rPr>
                <w:noProof/>
                <w:webHidden/>
              </w:rPr>
              <w:t>10</w:t>
            </w:r>
            <w:r>
              <w:rPr>
                <w:noProof/>
                <w:webHidden/>
              </w:rPr>
              <w:fldChar w:fldCharType="end"/>
            </w:r>
          </w:hyperlink>
        </w:p>
        <w:p w14:paraId="43599B7E" w14:textId="799E453D" w:rsidR="0025369D" w:rsidRDefault="0025369D">
          <w:pPr>
            <w:pStyle w:val="TOC2"/>
            <w:tabs>
              <w:tab w:val="right" w:leader="dot" w:pos="9350"/>
            </w:tabs>
            <w:rPr>
              <w:rFonts w:cstheme="minorBidi"/>
              <w:noProof/>
            </w:rPr>
          </w:pPr>
          <w:hyperlink w:anchor="_Toc58588094" w:history="1">
            <w:r w:rsidRPr="00F35577">
              <w:rPr>
                <w:rStyle w:val="Hyperlink"/>
                <w:noProof/>
              </w:rPr>
              <w:t>Who does VOCA consider a crime victim?</w:t>
            </w:r>
            <w:r>
              <w:rPr>
                <w:noProof/>
                <w:webHidden/>
              </w:rPr>
              <w:tab/>
            </w:r>
            <w:r>
              <w:rPr>
                <w:noProof/>
                <w:webHidden/>
              </w:rPr>
              <w:fldChar w:fldCharType="begin"/>
            </w:r>
            <w:r>
              <w:rPr>
                <w:noProof/>
                <w:webHidden/>
              </w:rPr>
              <w:instrText xml:space="preserve"> PAGEREF _Toc58588094 \h </w:instrText>
            </w:r>
            <w:r>
              <w:rPr>
                <w:noProof/>
                <w:webHidden/>
              </w:rPr>
            </w:r>
            <w:r>
              <w:rPr>
                <w:noProof/>
                <w:webHidden/>
              </w:rPr>
              <w:fldChar w:fldCharType="separate"/>
            </w:r>
            <w:r>
              <w:rPr>
                <w:noProof/>
                <w:webHidden/>
              </w:rPr>
              <w:t>11</w:t>
            </w:r>
            <w:r>
              <w:rPr>
                <w:noProof/>
                <w:webHidden/>
              </w:rPr>
              <w:fldChar w:fldCharType="end"/>
            </w:r>
          </w:hyperlink>
        </w:p>
        <w:p w14:paraId="5FAF00DF" w14:textId="307361FE" w:rsidR="0025369D" w:rsidRDefault="0025369D">
          <w:pPr>
            <w:pStyle w:val="TOC2"/>
            <w:tabs>
              <w:tab w:val="right" w:leader="dot" w:pos="9350"/>
            </w:tabs>
            <w:rPr>
              <w:rFonts w:cstheme="minorBidi"/>
              <w:noProof/>
            </w:rPr>
          </w:pPr>
          <w:hyperlink w:anchor="_Toc58588095" w:history="1">
            <w:r w:rsidRPr="00F35577">
              <w:rPr>
                <w:rStyle w:val="Hyperlink"/>
                <w:noProof/>
              </w:rPr>
              <w:t>Who does VOCA consider a victim of child abuse?</w:t>
            </w:r>
            <w:r>
              <w:rPr>
                <w:noProof/>
                <w:webHidden/>
              </w:rPr>
              <w:tab/>
            </w:r>
            <w:r>
              <w:rPr>
                <w:noProof/>
                <w:webHidden/>
              </w:rPr>
              <w:fldChar w:fldCharType="begin"/>
            </w:r>
            <w:r>
              <w:rPr>
                <w:noProof/>
                <w:webHidden/>
              </w:rPr>
              <w:instrText xml:space="preserve"> PAGEREF _Toc58588095 \h </w:instrText>
            </w:r>
            <w:r>
              <w:rPr>
                <w:noProof/>
                <w:webHidden/>
              </w:rPr>
            </w:r>
            <w:r>
              <w:rPr>
                <w:noProof/>
                <w:webHidden/>
              </w:rPr>
              <w:fldChar w:fldCharType="separate"/>
            </w:r>
            <w:r>
              <w:rPr>
                <w:noProof/>
                <w:webHidden/>
              </w:rPr>
              <w:t>11</w:t>
            </w:r>
            <w:r>
              <w:rPr>
                <w:noProof/>
                <w:webHidden/>
              </w:rPr>
              <w:fldChar w:fldCharType="end"/>
            </w:r>
          </w:hyperlink>
        </w:p>
        <w:p w14:paraId="57C14B85" w14:textId="3C0FAF8A" w:rsidR="0025369D" w:rsidRDefault="0025369D">
          <w:pPr>
            <w:pStyle w:val="TOC2"/>
            <w:tabs>
              <w:tab w:val="right" w:leader="dot" w:pos="9350"/>
            </w:tabs>
            <w:rPr>
              <w:rFonts w:cstheme="minorBidi"/>
              <w:noProof/>
            </w:rPr>
          </w:pPr>
          <w:hyperlink w:anchor="_Toc58588096" w:history="1">
            <w:r w:rsidRPr="00F35577">
              <w:rPr>
                <w:rStyle w:val="Hyperlink"/>
                <w:noProof/>
              </w:rPr>
              <w:t>Are VOCA-funded programs required to use volunteers?</w:t>
            </w:r>
            <w:r>
              <w:rPr>
                <w:noProof/>
                <w:webHidden/>
              </w:rPr>
              <w:tab/>
            </w:r>
            <w:r>
              <w:rPr>
                <w:noProof/>
                <w:webHidden/>
              </w:rPr>
              <w:fldChar w:fldCharType="begin"/>
            </w:r>
            <w:r>
              <w:rPr>
                <w:noProof/>
                <w:webHidden/>
              </w:rPr>
              <w:instrText xml:space="preserve"> PAGEREF _Toc58588096 \h </w:instrText>
            </w:r>
            <w:r>
              <w:rPr>
                <w:noProof/>
                <w:webHidden/>
              </w:rPr>
            </w:r>
            <w:r>
              <w:rPr>
                <w:noProof/>
                <w:webHidden/>
              </w:rPr>
              <w:fldChar w:fldCharType="separate"/>
            </w:r>
            <w:r>
              <w:rPr>
                <w:noProof/>
                <w:webHidden/>
              </w:rPr>
              <w:t>11</w:t>
            </w:r>
            <w:r>
              <w:rPr>
                <w:noProof/>
                <w:webHidden/>
              </w:rPr>
              <w:fldChar w:fldCharType="end"/>
            </w:r>
          </w:hyperlink>
        </w:p>
        <w:p w14:paraId="2D7B055C" w14:textId="3D65D47E" w:rsidR="0025369D" w:rsidRDefault="0025369D">
          <w:pPr>
            <w:pStyle w:val="TOC2"/>
            <w:tabs>
              <w:tab w:val="right" w:leader="dot" w:pos="9350"/>
            </w:tabs>
            <w:rPr>
              <w:rFonts w:cstheme="minorBidi"/>
              <w:noProof/>
            </w:rPr>
          </w:pPr>
          <w:hyperlink w:anchor="_Toc58588097" w:history="1">
            <w:r w:rsidRPr="00F35577">
              <w:rPr>
                <w:rStyle w:val="Hyperlink"/>
                <w:noProof/>
              </w:rPr>
              <w:t>How do I request to waive the 20% match requirement for my project?</w:t>
            </w:r>
            <w:r>
              <w:rPr>
                <w:noProof/>
                <w:webHidden/>
              </w:rPr>
              <w:tab/>
            </w:r>
            <w:r>
              <w:rPr>
                <w:noProof/>
                <w:webHidden/>
              </w:rPr>
              <w:fldChar w:fldCharType="begin"/>
            </w:r>
            <w:r>
              <w:rPr>
                <w:noProof/>
                <w:webHidden/>
              </w:rPr>
              <w:instrText xml:space="preserve"> PAGEREF _Toc58588097 \h </w:instrText>
            </w:r>
            <w:r>
              <w:rPr>
                <w:noProof/>
                <w:webHidden/>
              </w:rPr>
            </w:r>
            <w:r>
              <w:rPr>
                <w:noProof/>
                <w:webHidden/>
              </w:rPr>
              <w:fldChar w:fldCharType="separate"/>
            </w:r>
            <w:r>
              <w:rPr>
                <w:noProof/>
                <w:webHidden/>
              </w:rPr>
              <w:t>11</w:t>
            </w:r>
            <w:r>
              <w:rPr>
                <w:noProof/>
                <w:webHidden/>
              </w:rPr>
              <w:fldChar w:fldCharType="end"/>
            </w:r>
          </w:hyperlink>
        </w:p>
        <w:p w14:paraId="63895E4E" w14:textId="12981143" w:rsidR="0025369D" w:rsidRDefault="0025369D">
          <w:pPr>
            <w:pStyle w:val="TOC2"/>
            <w:tabs>
              <w:tab w:val="right" w:leader="dot" w:pos="9350"/>
            </w:tabs>
            <w:rPr>
              <w:rFonts w:cstheme="minorBidi"/>
              <w:noProof/>
            </w:rPr>
          </w:pPr>
          <w:hyperlink w:anchor="_Toc58588098" w:history="1">
            <w:r w:rsidRPr="00F35577">
              <w:rPr>
                <w:rStyle w:val="Hyperlink"/>
                <w:noProof/>
              </w:rPr>
              <w:t>I would like to provide services for victims of human trafficking.  Is this allowed through VOCA?</w:t>
            </w:r>
            <w:r>
              <w:rPr>
                <w:noProof/>
                <w:webHidden/>
              </w:rPr>
              <w:tab/>
            </w:r>
            <w:r>
              <w:rPr>
                <w:noProof/>
                <w:webHidden/>
              </w:rPr>
              <w:fldChar w:fldCharType="begin"/>
            </w:r>
            <w:r>
              <w:rPr>
                <w:noProof/>
                <w:webHidden/>
              </w:rPr>
              <w:instrText xml:space="preserve"> PAGEREF _Toc58588098 \h </w:instrText>
            </w:r>
            <w:r>
              <w:rPr>
                <w:noProof/>
                <w:webHidden/>
              </w:rPr>
            </w:r>
            <w:r>
              <w:rPr>
                <w:noProof/>
                <w:webHidden/>
              </w:rPr>
              <w:fldChar w:fldCharType="separate"/>
            </w:r>
            <w:r>
              <w:rPr>
                <w:noProof/>
                <w:webHidden/>
              </w:rPr>
              <w:t>12</w:t>
            </w:r>
            <w:r>
              <w:rPr>
                <w:noProof/>
                <w:webHidden/>
              </w:rPr>
              <w:fldChar w:fldCharType="end"/>
            </w:r>
          </w:hyperlink>
        </w:p>
        <w:p w14:paraId="27F3C5E8" w14:textId="21BBA910" w:rsidR="0025369D" w:rsidRDefault="0025369D">
          <w:pPr>
            <w:pStyle w:val="TOC2"/>
            <w:tabs>
              <w:tab w:val="right" w:leader="dot" w:pos="9350"/>
            </w:tabs>
            <w:rPr>
              <w:rFonts w:cstheme="minorBidi"/>
              <w:noProof/>
            </w:rPr>
          </w:pPr>
          <w:hyperlink w:anchor="_Toc58588099" w:history="1">
            <w:r w:rsidRPr="00F35577">
              <w:rPr>
                <w:rStyle w:val="Hyperlink"/>
                <w:noProof/>
              </w:rPr>
              <w:t>What is a subrecipient’s responsibility regarding collecting a rental deposit for a victim as part of the provision of transitional housing?</w:t>
            </w:r>
            <w:r>
              <w:rPr>
                <w:noProof/>
                <w:webHidden/>
              </w:rPr>
              <w:tab/>
            </w:r>
            <w:r>
              <w:rPr>
                <w:noProof/>
                <w:webHidden/>
              </w:rPr>
              <w:fldChar w:fldCharType="begin"/>
            </w:r>
            <w:r>
              <w:rPr>
                <w:noProof/>
                <w:webHidden/>
              </w:rPr>
              <w:instrText xml:space="preserve"> PAGEREF _Toc58588099 \h </w:instrText>
            </w:r>
            <w:r>
              <w:rPr>
                <w:noProof/>
                <w:webHidden/>
              </w:rPr>
            </w:r>
            <w:r>
              <w:rPr>
                <w:noProof/>
                <w:webHidden/>
              </w:rPr>
              <w:fldChar w:fldCharType="separate"/>
            </w:r>
            <w:r>
              <w:rPr>
                <w:noProof/>
                <w:webHidden/>
              </w:rPr>
              <w:t>12</w:t>
            </w:r>
            <w:r>
              <w:rPr>
                <w:noProof/>
                <w:webHidden/>
              </w:rPr>
              <w:fldChar w:fldCharType="end"/>
            </w:r>
          </w:hyperlink>
        </w:p>
        <w:p w14:paraId="4DFC1A84" w14:textId="42C8A9BF" w:rsidR="0025369D" w:rsidRDefault="0025369D">
          <w:pPr>
            <w:pStyle w:val="TOC2"/>
            <w:tabs>
              <w:tab w:val="right" w:leader="dot" w:pos="9350"/>
            </w:tabs>
            <w:rPr>
              <w:rFonts w:cstheme="minorBidi"/>
              <w:noProof/>
            </w:rPr>
          </w:pPr>
          <w:hyperlink w:anchor="_Toc58588100" w:history="1">
            <w:r w:rsidRPr="00F35577">
              <w:rPr>
                <w:rStyle w:val="Hyperlink"/>
                <w:noProof/>
              </w:rPr>
              <w:t>Can VOCA funds be used for prevention?</w:t>
            </w:r>
            <w:r>
              <w:rPr>
                <w:noProof/>
                <w:webHidden/>
              </w:rPr>
              <w:tab/>
            </w:r>
            <w:r>
              <w:rPr>
                <w:noProof/>
                <w:webHidden/>
              </w:rPr>
              <w:fldChar w:fldCharType="begin"/>
            </w:r>
            <w:r>
              <w:rPr>
                <w:noProof/>
                <w:webHidden/>
              </w:rPr>
              <w:instrText xml:space="preserve"> PAGEREF _Toc58588100 \h </w:instrText>
            </w:r>
            <w:r>
              <w:rPr>
                <w:noProof/>
                <w:webHidden/>
              </w:rPr>
            </w:r>
            <w:r>
              <w:rPr>
                <w:noProof/>
                <w:webHidden/>
              </w:rPr>
              <w:fldChar w:fldCharType="separate"/>
            </w:r>
            <w:r>
              <w:rPr>
                <w:noProof/>
                <w:webHidden/>
              </w:rPr>
              <w:t>13</w:t>
            </w:r>
            <w:r>
              <w:rPr>
                <w:noProof/>
                <w:webHidden/>
              </w:rPr>
              <w:fldChar w:fldCharType="end"/>
            </w:r>
          </w:hyperlink>
        </w:p>
        <w:p w14:paraId="5B920D7F" w14:textId="40457F3C" w:rsidR="0025369D" w:rsidRDefault="0025369D">
          <w:pPr>
            <w:pStyle w:val="TOC2"/>
            <w:tabs>
              <w:tab w:val="right" w:leader="dot" w:pos="9350"/>
            </w:tabs>
            <w:rPr>
              <w:rFonts w:cstheme="minorBidi"/>
              <w:noProof/>
            </w:rPr>
          </w:pPr>
          <w:hyperlink w:anchor="_Toc58588101" w:history="1">
            <w:r w:rsidRPr="00F35577">
              <w:rPr>
                <w:rStyle w:val="Hyperlink"/>
                <w:noProof/>
              </w:rPr>
              <w:t>What tools can be used for project evaluations?</w:t>
            </w:r>
            <w:r>
              <w:rPr>
                <w:noProof/>
                <w:webHidden/>
              </w:rPr>
              <w:tab/>
            </w:r>
            <w:r>
              <w:rPr>
                <w:noProof/>
                <w:webHidden/>
              </w:rPr>
              <w:fldChar w:fldCharType="begin"/>
            </w:r>
            <w:r>
              <w:rPr>
                <w:noProof/>
                <w:webHidden/>
              </w:rPr>
              <w:instrText xml:space="preserve"> PAGEREF _Toc58588101 \h </w:instrText>
            </w:r>
            <w:r>
              <w:rPr>
                <w:noProof/>
                <w:webHidden/>
              </w:rPr>
            </w:r>
            <w:r>
              <w:rPr>
                <w:noProof/>
                <w:webHidden/>
              </w:rPr>
              <w:fldChar w:fldCharType="separate"/>
            </w:r>
            <w:r>
              <w:rPr>
                <w:noProof/>
                <w:webHidden/>
              </w:rPr>
              <w:t>13</w:t>
            </w:r>
            <w:r>
              <w:rPr>
                <w:noProof/>
                <w:webHidden/>
              </w:rPr>
              <w:fldChar w:fldCharType="end"/>
            </w:r>
          </w:hyperlink>
        </w:p>
        <w:p w14:paraId="0D1CAF49" w14:textId="682672D0" w:rsidR="0025369D" w:rsidRDefault="0025369D">
          <w:pPr>
            <w:pStyle w:val="TOC2"/>
            <w:tabs>
              <w:tab w:val="right" w:leader="dot" w:pos="9350"/>
            </w:tabs>
            <w:rPr>
              <w:rFonts w:cstheme="minorBidi"/>
              <w:noProof/>
            </w:rPr>
          </w:pPr>
          <w:hyperlink w:anchor="_Toc58588102" w:history="1">
            <w:r w:rsidRPr="00F35577">
              <w:rPr>
                <w:rStyle w:val="Hyperlink"/>
                <w:noProof/>
              </w:rPr>
              <w:t>Do I qualify for an award in the "underserved" priority?</w:t>
            </w:r>
            <w:r>
              <w:rPr>
                <w:noProof/>
                <w:webHidden/>
              </w:rPr>
              <w:tab/>
            </w:r>
            <w:r>
              <w:rPr>
                <w:noProof/>
                <w:webHidden/>
              </w:rPr>
              <w:fldChar w:fldCharType="begin"/>
            </w:r>
            <w:r>
              <w:rPr>
                <w:noProof/>
                <w:webHidden/>
              </w:rPr>
              <w:instrText xml:space="preserve"> PAGEREF _Toc58588102 \h </w:instrText>
            </w:r>
            <w:r>
              <w:rPr>
                <w:noProof/>
                <w:webHidden/>
              </w:rPr>
            </w:r>
            <w:r>
              <w:rPr>
                <w:noProof/>
                <w:webHidden/>
              </w:rPr>
              <w:fldChar w:fldCharType="separate"/>
            </w:r>
            <w:r>
              <w:rPr>
                <w:noProof/>
                <w:webHidden/>
              </w:rPr>
              <w:t>13</w:t>
            </w:r>
            <w:r>
              <w:rPr>
                <w:noProof/>
                <w:webHidden/>
              </w:rPr>
              <w:fldChar w:fldCharType="end"/>
            </w:r>
          </w:hyperlink>
        </w:p>
        <w:p w14:paraId="207D3772" w14:textId="0A613267" w:rsidR="0025369D" w:rsidRDefault="0025369D">
          <w:pPr>
            <w:pStyle w:val="TOC2"/>
            <w:tabs>
              <w:tab w:val="right" w:leader="dot" w:pos="9350"/>
            </w:tabs>
            <w:rPr>
              <w:rFonts w:cstheme="minorBidi"/>
              <w:noProof/>
            </w:rPr>
          </w:pPr>
          <w:hyperlink w:anchor="_Toc58588103" w:history="1">
            <w:r w:rsidRPr="00F35577">
              <w:rPr>
                <w:rStyle w:val="Hyperlink"/>
                <w:noProof/>
              </w:rPr>
              <w:t>When are my OVC-PMT reports due?</w:t>
            </w:r>
            <w:r>
              <w:rPr>
                <w:noProof/>
                <w:webHidden/>
              </w:rPr>
              <w:tab/>
            </w:r>
            <w:r>
              <w:rPr>
                <w:noProof/>
                <w:webHidden/>
              </w:rPr>
              <w:fldChar w:fldCharType="begin"/>
            </w:r>
            <w:r>
              <w:rPr>
                <w:noProof/>
                <w:webHidden/>
              </w:rPr>
              <w:instrText xml:space="preserve"> PAGEREF _Toc58588103 \h </w:instrText>
            </w:r>
            <w:r>
              <w:rPr>
                <w:noProof/>
                <w:webHidden/>
              </w:rPr>
            </w:r>
            <w:r>
              <w:rPr>
                <w:noProof/>
                <w:webHidden/>
              </w:rPr>
              <w:fldChar w:fldCharType="separate"/>
            </w:r>
            <w:r>
              <w:rPr>
                <w:noProof/>
                <w:webHidden/>
              </w:rPr>
              <w:t>13</w:t>
            </w:r>
            <w:r>
              <w:rPr>
                <w:noProof/>
                <w:webHidden/>
              </w:rPr>
              <w:fldChar w:fldCharType="end"/>
            </w:r>
          </w:hyperlink>
        </w:p>
        <w:p w14:paraId="7EC4E587" w14:textId="64398D2A" w:rsidR="0025369D" w:rsidRDefault="0025369D">
          <w:pPr>
            <w:pStyle w:val="TOC2"/>
            <w:tabs>
              <w:tab w:val="right" w:leader="dot" w:pos="9350"/>
            </w:tabs>
            <w:rPr>
              <w:rFonts w:cstheme="minorBidi"/>
              <w:noProof/>
            </w:rPr>
          </w:pPr>
          <w:hyperlink w:anchor="_Toc58588104" w:history="1">
            <w:r w:rsidRPr="00F35577">
              <w:rPr>
                <w:rStyle w:val="Hyperlink"/>
                <w:noProof/>
              </w:rPr>
              <w:t>I am having issues submitting my PMT report. Who do I contact?</w:t>
            </w:r>
            <w:r>
              <w:rPr>
                <w:noProof/>
                <w:webHidden/>
              </w:rPr>
              <w:tab/>
            </w:r>
            <w:r>
              <w:rPr>
                <w:noProof/>
                <w:webHidden/>
              </w:rPr>
              <w:fldChar w:fldCharType="begin"/>
            </w:r>
            <w:r>
              <w:rPr>
                <w:noProof/>
                <w:webHidden/>
              </w:rPr>
              <w:instrText xml:space="preserve"> PAGEREF _Toc58588104 \h </w:instrText>
            </w:r>
            <w:r>
              <w:rPr>
                <w:noProof/>
                <w:webHidden/>
              </w:rPr>
            </w:r>
            <w:r>
              <w:rPr>
                <w:noProof/>
                <w:webHidden/>
              </w:rPr>
              <w:fldChar w:fldCharType="separate"/>
            </w:r>
            <w:r>
              <w:rPr>
                <w:noProof/>
                <w:webHidden/>
              </w:rPr>
              <w:t>13</w:t>
            </w:r>
            <w:r>
              <w:rPr>
                <w:noProof/>
                <w:webHidden/>
              </w:rPr>
              <w:fldChar w:fldCharType="end"/>
            </w:r>
          </w:hyperlink>
        </w:p>
        <w:p w14:paraId="62A6796E" w14:textId="18D0F407" w:rsidR="0025369D" w:rsidRDefault="0025369D">
          <w:pPr>
            <w:pStyle w:val="TOC2"/>
            <w:tabs>
              <w:tab w:val="right" w:leader="dot" w:pos="9350"/>
            </w:tabs>
            <w:rPr>
              <w:rFonts w:cstheme="minorBidi"/>
              <w:noProof/>
            </w:rPr>
          </w:pPr>
          <w:hyperlink w:anchor="_Toc58588105" w:history="1">
            <w:r w:rsidRPr="00F35577">
              <w:rPr>
                <w:rStyle w:val="Hyperlink"/>
                <w:noProof/>
              </w:rPr>
              <w:t>What are allowable training costs?</w:t>
            </w:r>
            <w:r>
              <w:rPr>
                <w:noProof/>
                <w:webHidden/>
              </w:rPr>
              <w:tab/>
            </w:r>
            <w:r>
              <w:rPr>
                <w:noProof/>
                <w:webHidden/>
              </w:rPr>
              <w:fldChar w:fldCharType="begin"/>
            </w:r>
            <w:r>
              <w:rPr>
                <w:noProof/>
                <w:webHidden/>
              </w:rPr>
              <w:instrText xml:space="preserve"> PAGEREF _Toc58588105 \h </w:instrText>
            </w:r>
            <w:r>
              <w:rPr>
                <w:noProof/>
                <w:webHidden/>
              </w:rPr>
            </w:r>
            <w:r>
              <w:rPr>
                <w:noProof/>
                <w:webHidden/>
              </w:rPr>
              <w:fldChar w:fldCharType="separate"/>
            </w:r>
            <w:r>
              <w:rPr>
                <w:noProof/>
                <w:webHidden/>
              </w:rPr>
              <w:t>14</w:t>
            </w:r>
            <w:r>
              <w:rPr>
                <w:noProof/>
                <w:webHidden/>
              </w:rPr>
              <w:fldChar w:fldCharType="end"/>
            </w:r>
          </w:hyperlink>
        </w:p>
        <w:p w14:paraId="278D67E0" w14:textId="4D5E706C" w:rsidR="0025369D" w:rsidRDefault="0025369D">
          <w:pPr>
            <w:pStyle w:val="TOC2"/>
            <w:tabs>
              <w:tab w:val="right" w:leader="dot" w:pos="9350"/>
            </w:tabs>
            <w:rPr>
              <w:rFonts w:cstheme="minorBidi"/>
              <w:noProof/>
            </w:rPr>
          </w:pPr>
          <w:hyperlink w:anchor="_Toc58588106" w:history="1">
            <w:r w:rsidRPr="00F35577">
              <w:rPr>
                <w:rStyle w:val="Hyperlink"/>
                <w:noProof/>
              </w:rPr>
              <w:t>Can law enforcement agencies apply for VOCA funding?</w:t>
            </w:r>
            <w:r>
              <w:rPr>
                <w:noProof/>
                <w:webHidden/>
              </w:rPr>
              <w:tab/>
            </w:r>
            <w:r>
              <w:rPr>
                <w:noProof/>
                <w:webHidden/>
              </w:rPr>
              <w:fldChar w:fldCharType="begin"/>
            </w:r>
            <w:r>
              <w:rPr>
                <w:noProof/>
                <w:webHidden/>
              </w:rPr>
              <w:instrText xml:space="preserve"> PAGEREF _Toc58588106 \h </w:instrText>
            </w:r>
            <w:r>
              <w:rPr>
                <w:noProof/>
                <w:webHidden/>
              </w:rPr>
            </w:r>
            <w:r>
              <w:rPr>
                <w:noProof/>
                <w:webHidden/>
              </w:rPr>
              <w:fldChar w:fldCharType="separate"/>
            </w:r>
            <w:r>
              <w:rPr>
                <w:noProof/>
                <w:webHidden/>
              </w:rPr>
              <w:t>14</w:t>
            </w:r>
            <w:r>
              <w:rPr>
                <w:noProof/>
                <w:webHidden/>
              </w:rPr>
              <w:fldChar w:fldCharType="end"/>
            </w:r>
          </w:hyperlink>
        </w:p>
        <w:p w14:paraId="76D6B9F7" w14:textId="0B21E094" w:rsidR="0025369D" w:rsidRDefault="0025369D">
          <w:pPr>
            <w:pStyle w:val="TOC2"/>
            <w:tabs>
              <w:tab w:val="right" w:leader="dot" w:pos="9350"/>
            </w:tabs>
            <w:rPr>
              <w:rFonts w:cstheme="minorBidi"/>
              <w:noProof/>
            </w:rPr>
          </w:pPr>
          <w:hyperlink w:anchor="_Toc58588107" w:history="1">
            <w:r w:rsidRPr="00F35577">
              <w:rPr>
                <w:rStyle w:val="Hyperlink"/>
                <w:noProof/>
              </w:rPr>
              <w:t>Can VOCA provide services to offenders or those perpetuating abuse?</w:t>
            </w:r>
            <w:r>
              <w:rPr>
                <w:noProof/>
                <w:webHidden/>
              </w:rPr>
              <w:tab/>
            </w:r>
            <w:r>
              <w:rPr>
                <w:noProof/>
                <w:webHidden/>
              </w:rPr>
              <w:fldChar w:fldCharType="begin"/>
            </w:r>
            <w:r>
              <w:rPr>
                <w:noProof/>
                <w:webHidden/>
              </w:rPr>
              <w:instrText xml:space="preserve"> PAGEREF _Toc58588107 \h </w:instrText>
            </w:r>
            <w:r>
              <w:rPr>
                <w:noProof/>
                <w:webHidden/>
              </w:rPr>
            </w:r>
            <w:r>
              <w:rPr>
                <w:noProof/>
                <w:webHidden/>
              </w:rPr>
              <w:fldChar w:fldCharType="separate"/>
            </w:r>
            <w:r>
              <w:rPr>
                <w:noProof/>
                <w:webHidden/>
              </w:rPr>
              <w:t>14</w:t>
            </w:r>
            <w:r>
              <w:rPr>
                <w:noProof/>
                <w:webHidden/>
              </w:rPr>
              <w:fldChar w:fldCharType="end"/>
            </w:r>
          </w:hyperlink>
        </w:p>
        <w:p w14:paraId="26A91E69" w14:textId="0F553C45" w:rsidR="0025369D" w:rsidRDefault="0025369D">
          <w:pPr>
            <w:pStyle w:val="TOC2"/>
            <w:tabs>
              <w:tab w:val="right" w:leader="dot" w:pos="9350"/>
            </w:tabs>
            <w:rPr>
              <w:rFonts w:cstheme="minorBidi"/>
              <w:noProof/>
            </w:rPr>
          </w:pPr>
          <w:hyperlink w:anchor="_Toc58588108" w:history="1">
            <w:r w:rsidRPr="00F35577">
              <w:rPr>
                <w:rStyle w:val="Hyperlink"/>
                <w:noProof/>
              </w:rPr>
              <w:t>Can VOCA funds be used for adaptations and repairs to an existing facility, other than for ADA compliance?</w:t>
            </w:r>
            <w:r>
              <w:rPr>
                <w:noProof/>
                <w:webHidden/>
              </w:rPr>
              <w:tab/>
            </w:r>
            <w:r>
              <w:rPr>
                <w:noProof/>
                <w:webHidden/>
              </w:rPr>
              <w:fldChar w:fldCharType="begin"/>
            </w:r>
            <w:r>
              <w:rPr>
                <w:noProof/>
                <w:webHidden/>
              </w:rPr>
              <w:instrText xml:space="preserve"> PAGEREF _Toc58588108 \h </w:instrText>
            </w:r>
            <w:r>
              <w:rPr>
                <w:noProof/>
                <w:webHidden/>
              </w:rPr>
            </w:r>
            <w:r>
              <w:rPr>
                <w:noProof/>
                <w:webHidden/>
              </w:rPr>
              <w:fldChar w:fldCharType="separate"/>
            </w:r>
            <w:r>
              <w:rPr>
                <w:noProof/>
                <w:webHidden/>
              </w:rPr>
              <w:t>14</w:t>
            </w:r>
            <w:r>
              <w:rPr>
                <w:noProof/>
                <w:webHidden/>
              </w:rPr>
              <w:fldChar w:fldCharType="end"/>
            </w:r>
          </w:hyperlink>
        </w:p>
        <w:p w14:paraId="4100685A" w14:textId="685F8753" w:rsidR="0025369D" w:rsidRDefault="0025369D">
          <w:pPr>
            <w:pStyle w:val="TOC2"/>
            <w:tabs>
              <w:tab w:val="right" w:leader="dot" w:pos="9350"/>
            </w:tabs>
            <w:rPr>
              <w:rFonts w:cstheme="minorBidi"/>
              <w:noProof/>
            </w:rPr>
          </w:pPr>
          <w:hyperlink w:anchor="_Toc58588109" w:history="1">
            <w:r w:rsidRPr="00F35577">
              <w:rPr>
                <w:rStyle w:val="Hyperlink"/>
                <w:noProof/>
              </w:rPr>
              <w:t>What types of medications and medical expenses are allowable under VOCA?</w:t>
            </w:r>
            <w:r>
              <w:rPr>
                <w:noProof/>
                <w:webHidden/>
              </w:rPr>
              <w:tab/>
            </w:r>
            <w:r>
              <w:rPr>
                <w:noProof/>
                <w:webHidden/>
              </w:rPr>
              <w:fldChar w:fldCharType="begin"/>
            </w:r>
            <w:r>
              <w:rPr>
                <w:noProof/>
                <w:webHidden/>
              </w:rPr>
              <w:instrText xml:space="preserve"> PAGEREF _Toc58588109 \h </w:instrText>
            </w:r>
            <w:r>
              <w:rPr>
                <w:noProof/>
                <w:webHidden/>
              </w:rPr>
            </w:r>
            <w:r>
              <w:rPr>
                <w:noProof/>
                <w:webHidden/>
              </w:rPr>
              <w:fldChar w:fldCharType="separate"/>
            </w:r>
            <w:r>
              <w:rPr>
                <w:noProof/>
                <w:webHidden/>
              </w:rPr>
              <w:t>14</w:t>
            </w:r>
            <w:r>
              <w:rPr>
                <w:noProof/>
                <w:webHidden/>
              </w:rPr>
              <w:fldChar w:fldCharType="end"/>
            </w:r>
          </w:hyperlink>
        </w:p>
        <w:p w14:paraId="47B0261A" w14:textId="1DAA3293" w:rsidR="0025369D" w:rsidRDefault="0025369D">
          <w:pPr>
            <w:pStyle w:val="TOC2"/>
            <w:tabs>
              <w:tab w:val="right" w:leader="dot" w:pos="9350"/>
            </w:tabs>
            <w:rPr>
              <w:rFonts w:cstheme="minorBidi"/>
              <w:noProof/>
            </w:rPr>
          </w:pPr>
          <w:hyperlink w:anchor="_Toc58588110" w:history="1">
            <w:r w:rsidRPr="00F35577">
              <w:rPr>
                <w:rStyle w:val="Hyperlink"/>
                <w:noProof/>
              </w:rPr>
              <w:t>Must VOCA-funded services be free of charge?</w:t>
            </w:r>
            <w:r>
              <w:rPr>
                <w:noProof/>
                <w:webHidden/>
              </w:rPr>
              <w:tab/>
            </w:r>
            <w:r>
              <w:rPr>
                <w:noProof/>
                <w:webHidden/>
              </w:rPr>
              <w:fldChar w:fldCharType="begin"/>
            </w:r>
            <w:r>
              <w:rPr>
                <w:noProof/>
                <w:webHidden/>
              </w:rPr>
              <w:instrText xml:space="preserve"> PAGEREF _Toc58588110 \h </w:instrText>
            </w:r>
            <w:r>
              <w:rPr>
                <w:noProof/>
                <w:webHidden/>
              </w:rPr>
            </w:r>
            <w:r>
              <w:rPr>
                <w:noProof/>
                <w:webHidden/>
              </w:rPr>
              <w:fldChar w:fldCharType="separate"/>
            </w:r>
            <w:r>
              <w:rPr>
                <w:noProof/>
                <w:webHidden/>
              </w:rPr>
              <w:t>14</w:t>
            </w:r>
            <w:r>
              <w:rPr>
                <w:noProof/>
                <w:webHidden/>
              </w:rPr>
              <w:fldChar w:fldCharType="end"/>
            </w:r>
          </w:hyperlink>
        </w:p>
        <w:p w14:paraId="4BB29261" w14:textId="4D30D289" w:rsidR="0025369D" w:rsidRDefault="0025369D">
          <w:pPr>
            <w:pStyle w:val="TOC2"/>
            <w:tabs>
              <w:tab w:val="right" w:leader="dot" w:pos="9350"/>
            </w:tabs>
            <w:rPr>
              <w:rFonts w:cstheme="minorBidi"/>
              <w:noProof/>
            </w:rPr>
          </w:pPr>
          <w:hyperlink w:anchor="_Toc58588111" w:history="1">
            <w:r w:rsidRPr="00F35577">
              <w:rPr>
                <w:rStyle w:val="Hyperlink"/>
                <w:noProof/>
              </w:rPr>
              <w:t>Can VOCA funds be used to pay for a grant-funded employee's maternity leave? If so, how would agencies report on activities in OVC-PMT during this time?</w:t>
            </w:r>
            <w:r>
              <w:rPr>
                <w:noProof/>
                <w:webHidden/>
              </w:rPr>
              <w:tab/>
            </w:r>
            <w:r>
              <w:rPr>
                <w:noProof/>
                <w:webHidden/>
              </w:rPr>
              <w:fldChar w:fldCharType="begin"/>
            </w:r>
            <w:r>
              <w:rPr>
                <w:noProof/>
                <w:webHidden/>
              </w:rPr>
              <w:instrText xml:space="preserve"> PAGEREF _Toc58588111 \h </w:instrText>
            </w:r>
            <w:r>
              <w:rPr>
                <w:noProof/>
                <w:webHidden/>
              </w:rPr>
            </w:r>
            <w:r>
              <w:rPr>
                <w:noProof/>
                <w:webHidden/>
              </w:rPr>
              <w:fldChar w:fldCharType="separate"/>
            </w:r>
            <w:r>
              <w:rPr>
                <w:noProof/>
                <w:webHidden/>
              </w:rPr>
              <w:t>15</w:t>
            </w:r>
            <w:r>
              <w:rPr>
                <w:noProof/>
                <w:webHidden/>
              </w:rPr>
              <w:fldChar w:fldCharType="end"/>
            </w:r>
          </w:hyperlink>
        </w:p>
        <w:p w14:paraId="1CA67266" w14:textId="13ABE009" w:rsidR="0025369D" w:rsidRDefault="0025369D">
          <w:pPr>
            <w:pStyle w:val="TOC2"/>
            <w:tabs>
              <w:tab w:val="right" w:leader="dot" w:pos="9350"/>
            </w:tabs>
            <w:rPr>
              <w:rFonts w:cstheme="minorBidi"/>
              <w:noProof/>
            </w:rPr>
          </w:pPr>
          <w:hyperlink w:anchor="_Toc58588112" w:history="1">
            <w:r w:rsidRPr="00F35577">
              <w:rPr>
                <w:rStyle w:val="Hyperlink"/>
                <w:noProof/>
              </w:rPr>
              <w:t>I am a dual-service agency who receives the formula allocation for domestic violence and sexual assault. How much of my agency's services should be devoted to sexual assault response and advocacy?</w:t>
            </w:r>
            <w:r>
              <w:rPr>
                <w:noProof/>
                <w:webHidden/>
              </w:rPr>
              <w:tab/>
            </w:r>
            <w:r>
              <w:rPr>
                <w:noProof/>
                <w:webHidden/>
              </w:rPr>
              <w:fldChar w:fldCharType="begin"/>
            </w:r>
            <w:r>
              <w:rPr>
                <w:noProof/>
                <w:webHidden/>
              </w:rPr>
              <w:instrText xml:space="preserve"> PAGEREF _Toc58588112 \h </w:instrText>
            </w:r>
            <w:r>
              <w:rPr>
                <w:noProof/>
                <w:webHidden/>
              </w:rPr>
            </w:r>
            <w:r>
              <w:rPr>
                <w:noProof/>
                <w:webHidden/>
              </w:rPr>
              <w:fldChar w:fldCharType="separate"/>
            </w:r>
            <w:r>
              <w:rPr>
                <w:noProof/>
                <w:webHidden/>
              </w:rPr>
              <w:t>15</w:t>
            </w:r>
            <w:r>
              <w:rPr>
                <w:noProof/>
                <w:webHidden/>
              </w:rPr>
              <w:fldChar w:fldCharType="end"/>
            </w:r>
          </w:hyperlink>
        </w:p>
        <w:p w14:paraId="387F80C2" w14:textId="03F43D76" w:rsidR="0025369D" w:rsidRDefault="0025369D">
          <w:pPr>
            <w:pStyle w:val="TOC1"/>
            <w:tabs>
              <w:tab w:val="right" w:leader="dot" w:pos="9350"/>
            </w:tabs>
            <w:rPr>
              <w:rFonts w:cstheme="minorBidi"/>
              <w:noProof/>
            </w:rPr>
          </w:pPr>
          <w:hyperlink w:anchor="_Toc58588113" w:history="1">
            <w:r w:rsidRPr="00F35577">
              <w:rPr>
                <w:rStyle w:val="Hyperlink"/>
                <w:noProof/>
              </w:rPr>
              <w:t>STOP-Specific Questions</w:t>
            </w:r>
            <w:r>
              <w:rPr>
                <w:noProof/>
                <w:webHidden/>
              </w:rPr>
              <w:tab/>
            </w:r>
            <w:r>
              <w:rPr>
                <w:noProof/>
                <w:webHidden/>
              </w:rPr>
              <w:fldChar w:fldCharType="begin"/>
            </w:r>
            <w:r>
              <w:rPr>
                <w:noProof/>
                <w:webHidden/>
              </w:rPr>
              <w:instrText xml:space="preserve"> PAGEREF _Toc58588113 \h </w:instrText>
            </w:r>
            <w:r>
              <w:rPr>
                <w:noProof/>
                <w:webHidden/>
              </w:rPr>
            </w:r>
            <w:r>
              <w:rPr>
                <w:noProof/>
                <w:webHidden/>
              </w:rPr>
              <w:fldChar w:fldCharType="separate"/>
            </w:r>
            <w:r>
              <w:rPr>
                <w:noProof/>
                <w:webHidden/>
              </w:rPr>
              <w:t>15</w:t>
            </w:r>
            <w:r>
              <w:rPr>
                <w:noProof/>
                <w:webHidden/>
              </w:rPr>
              <w:fldChar w:fldCharType="end"/>
            </w:r>
          </w:hyperlink>
        </w:p>
        <w:p w14:paraId="0E7B53D1" w14:textId="243C61C2" w:rsidR="0025369D" w:rsidRDefault="0025369D">
          <w:pPr>
            <w:pStyle w:val="TOC2"/>
            <w:tabs>
              <w:tab w:val="right" w:leader="dot" w:pos="9350"/>
            </w:tabs>
            <w:rPr>
              <w:rFonts w:cstheme="minorBidi"/>
              <w:noProof/>
            </w:rPr>
          </w:pPr>
          <w:hyperlink w:anchor="_Toc58588114" w:history="1">
            <w:r w:rsidRPr="00F35577">
              <w:rPr>
                <w:rStyle w:val="Hyperlink"/>
                <w:noProof/>
              </w:rPr>
              <w:t>How much funding will be available for each federally mandated allocation category?</w:t>
            </w:r>
            <w:r>
              <w:rPr>
                <w:noProof/>
                <w:webHidden/>
              </w:rPr>
              <w:tab/>
            </w:r>
            <w:r>
              <w:rPr>
                <w:noProof/>
                <w:webHidden/>
              </w:rPr>
              <w:fldChar w:fldCharType="begin"/>
            </w:r>
            <w:r>
              <w:rPr>
                <w:noProof/>
                <w:webHidden/>
              </w:rPr>
              <w:instrText xml:space="preserve"> PAGEREF _Toc58588114 \h </w:instrText>
            </w:r>
            <w:r>
              <w:rPr>
                <w:noProof/>
                <w:webHidden/>
              </w:rPr>
            </w:r>
            <w:r>
              <w:rPr>
                <w:noProof/>
                <w:webHidden/>
              </w:rPr>
              <w:fldChar w:fldCharType="separate"/>
            </w:r>
            <w:r>
              <w:rPr>
                <w:noProof/>
                <w:webHidden/>
              </w:rPr>
              <w:t>15</w:t>
            </w:r>
            <w:r>
              <w:rPr>
                <w:noProof/>
                <w:webHidden/>
              </w:rPr>
              <w:fldChar w:fldCharType="end"/>
            </w:r>
          </w:hyperlink>
        </w:p>
        <w:p w14:paraId="2C4B3B64" w14:textId="3FE232BB" w:rsidR="0025369D" w:rsidRDefault="0025369D">
          <w:pPr>
            <w:pStyle w:val="TOC2"/>
            <w:tabs>
              <w:tab w:val="right" w:leader="dot" w:pos="9350"/>
            </w:tabs>
            <w:rPr>
              <w:rFonts w:cstheme="minorBidi"/>
              <w:noProof/>
            </w:rPr>
          </w:pPr>
          <w:hyperlink w:anchor="_Toc58588115" w:history="1">
            <w:r w:rsidRPr="00F35577">
              <w:rPr>
                <w:rStyle w:val="Hyperlink"/>
                <w:noProof/>
              </w:rPr>
              <w:t>Are there funding caps or growth limits for STOP priorities?</w:t>
            </w:r>
            <w:r>
              <w:rPr>
                <w:noProof/>
                <w:webHidden/>
              </w:rPr>
              <w:tab/>
            </w:r>
            <w:r>
              <w:rPr>
                <w:noProof/>
                <w:webHidden/>
              </w:rPr>
              <w:fldChar w:fldCharType="begin"/>
            </w:r>
            <w:r>
              <w:rPr>
                <w:noProof/>
                <w:webHidden/>
              </w:rPr>
              <w:instrText xml:space="preserve"> PAGEREF _Toc58588115 \h </w:instrText>
            </w:r>
            <w:r>
              <w:rPr>
                <w:noProof/>
                <w:webHidden/>
              </w:rPr>
            </w:r>
            <w:r>
              <w:rPr>
                <w:noProof/>
                <w:webHidden/>
              </w:rPr>
              <w:fldChar w:fldCharType="separate"/>
            </w:r>
            <w:r>
              <w:rPr>
                <w:noProof/>
                <w:webHidden/>
              </w:rPr>
              <w:t>16</w:t>
            </w:r>
            <w:r>
              <w:rPr>
                <w:noProof/>
                <w:webHidden/>
              </w:rPr>
              <w:fldChar w:fldCharType="end"/>
            </w:r>
          </w:hyperlink>
        </w:p>
        <w:p w14:paraId="5D322339" w14:textId="6CEA6882" w:rsidR="0025369D" w:rsidRDefault="0025369D">
          <w:pPr>
            <w:pStyle w:val="TOC2"/>
            <w:tabs>
              <w:tab w:val="right" w:leader="dot" w:pos="9350"/>
            </w:tabs>
            <w:rPr>
              <w:rFonts w:cstheme="minorBidi"/>
              <w:noProof/>
            </w:rPr>
          </w:pPr>
          <w:hyperlink w:anchor="_Toc58588116" w:history="1">
            <w:r w:rsidRPr="00F35577">
              <w:rPr>
                <w:rStyle w:val="Hyperlink"/>
                <w:noProof/>
              </w:rPr>
              <w:t>Can STOP funds be used to support supervised visitation and exchange programs?</w:t>
            </w:r>
            <w:r>
              <w:rPr>
                <w:noProof/>
                <w:webHidden/>
              </w:rPr>
              <w:tab/>
            </w:r>
            <w:r>
              <w:rPr>
                <w:noProof/>
                <w:webHidden/>
              </w:rPr>
              <w:fldChar w:fldCharType="begin"/>
            </w:r>
            <w:r>
              <w:rPr>
                <w:noProof/>
                <w:webHidden/>
              </w:rPr>
              <w:instrText xml:space="preserve"> PAGEREF _Toc58588116 \h </w:instrText>
            </w:r>
            <w:r>
              <w:rPr>
                <w:noProof/>
                <w:webHidden/>
              </w:rPr>
            </w:r>
            <w:r>
              <w:rPr>
                <w:noProof/>
                <w:webHidden/>
              </w:rPr>
              <w:fldChar w:fldCharType="separate"/>
            </w:r>
            <w:r>
              <w:rPr>
                <w:noProof/>
                <w:webHidden/>
              </w:rPr>
              <w:t>16</w:t>
            </w:r>
            <w:r>
              <w:rPr>
                <w:noProof/>
                <w:webHidden/>
              </w:rPr>
              <w:fldChar w:fldCharType="end"/>
            </w:r>
          </w:hyperlink>
        </w:p>
        <w:p w14:paraId="677E2EE0" w14:textId="0D3C1627" w:rsidR="0025369D" w:rsidRDefault="0025369D">
          <w:pPr>
            <w:pStyle w:val="TOC2"/>
            <w:tabs>
              <w:tab w:val="right" w:leader="dot" w:pos="9350"/>
            </w:tabs>
            <w:rPr>
              <w:rFonts w:cstheme="minorBidi"/>
              <w:noProof/>
            </w:rPr>
          </w:pPr>
          <w:hyperlink w:anchor="_Toc58588117" w:history="1">
            <w:r w:rsidRPr="00F35577">
              <w:rPr>
                <w:rStyle w:val="Hyperlink"/>
                <w:noProof/>
              </w:rPr>
              <w:t>What entities are covered by the match exemption through STOP?</w:t>
            </w:r>
            <w:r>
              <w:rPr>
                <w:noProof/>
                <w:webHidden/>
              </w:rPr>
              <w:tab/>
            </w:r>
            <w:r>
              <w:rPr>
                <w:noProof/>
                <w:webHidden/>
              </w:rPr>
              <w:fldChar w:fldCharType="begin"/>
            </w:r>
            <w:r>
              <w:rPr>
                <w:noProof/>
                <w:webHidden/>
              </w:rPr>
              <w:instrText xml:space="preserve"> PAGEREF _Toc58588117 \h </w:instrText>
            </w:r>
            <w:r>
              <w:rPr>
                <w:noProof/>
                <w:webHidden/>
              </w:rPr>
            </w:r>
            <w:r>
              <w:rPr>
                <w:noProof/>
                <w:webHidden/>
              </w:rPr>
              <w:fldChar w:fldCharType="separate"/>
            </w:r>
            <w:r>
              <w:rPr>
                <w:noProof/>
                <w:webHidden/>
              </w:rPr>
              <w:t>16</w:t>
            </w:r>
            <w:r>
              <w:rPr>
                <w:noProof/>
                <w:webHidden/>
              </w:rPr>
              <w:fldChar w:fldCharType="end"/>
            </w:r>
          </w:hyperlink>
        </w:p>
        <w:p w14:paraId="6ED93A2A" w14:textId="0037A3BB" w:rsidR="0025369D" w:rsidRDefault="0025369D">
          <w:pPr>
            <w:pStyle w:val="TOC2"/>
            <w:tabs>
              <w:tab w:val="right" w:leader="dot" w:pos="9350"/>
            </w:tabs>
            <w:rPr>
              <w:rFonts w:cstheme="minorBidi"/>
              <w:noProof/>
            </w:rPr>
          </w:pPr>
          <w:hyperlink w:anchor="_Toc58588118" w:history="1">
            <w:r w:rsidRPr="00F35577">
              <w:rPr>
                <w:rStyle w:val="Hyperlink"/>
                <w:noProof/>
              </w:rPr>
              <w:t>Can STOP be used to fund Batterer's Intervention Programs?</w:t>
            </w:r>
            <w:r>
              <w:rPr>
                <w:noProof/>
                <w:webHidden/>
              </w:rPr>
              <w:tab/>
            </w:r>
            <w:r>
              <w:rPr>
                <w:noProof/>
                <w:webHidden/>
              </w:rPr>
              <w:fldChar w:fldCharType="begin"/>
            </w:r>
            <w:r>
              <w:rPr>
                <w:noProof/>
                <w:webHidden/>
              </w:rPr>
              <w:instrText xml:space="preserve"> PAGEREF _Toc58588118 \h </w:instrText>
            </w:r>
            <w:r>
              <w:rPr>
                <w:noProof/>
                <w:webHidden/>
              </w:rPr>
            </w:r>
            <w:r>
              <w:rPr>
                <w:noProof/>
                <w:webHidden/>
              </w:rPr>
              <w:fldChar w:fldCharType="separate"/>
            </w:r>
            <w:r>
              <w:rPr>
                <w:noProof/>
                <w:webHidden/>
              </w:rPr>
              <w:t>17</w:t>
            </w:r>
            <w:r>
              <w:rPr>
                <w:noProof/>
                <w:webHidden/>
              </w:rPr>
              <w:fldChar w:fldCharType="end"/>
            </w:r>
          </w:hyperlink>
        </w:p>
        <w:p w14:paraId="1E994197" w14:textId="5FFE1D87" w:rsidR="0025369D" w:rsidRDefault="0025369D">
          <w:pPr>
            <w:pStyle w:val="TOC2"/>
            <w:tabs>
              <w:tab w:val="right" w:leader="dot" w:pos="9350"/>
            </w:tabs>
            <w:rPr>
              <w:rFonts w:cstheme="minorBidi"/>
              <w:noProof/>
            </w:rPr>
          </w:pPr>
          <w:hyperlink w:anchor="_Toc58588119" w:history="1">
            <w:r w:rsidRPr="00F35577">
              <w:rPr>
                <w:rStyle w:val="Hyperlink"/>
                <w:noProof/>
              </w:rPr>
              <w:t>Can STOP funds be used for a healthcare provider’s time conducting forensic examinations?</w:t>
            </w:r>
            <w:r>
              <w:rPr>
                <w:noProof/>
                <w:webHidden/>
              </w:rPr>
              <w:tab/>
            </w:r>
            <w:r>
              <w:rPr>
                <w:noProof/>
                <w:webHidden/>
              </w:rPr>
              <w:fldChar w:fldCharType="begin"/>
            </w:r>
            <w:r>
              <w:rPr>
                <w:noProof/>
                <w:webHidden/>
              </w:rPr>
              <w:instrText xml:space="preserve"> PAGEREF _Toc58588119 \h </w:instrText>
            </w:r>
            <w:r>
              <w:rPr>
                <w:noProof/>
                <w:webHidden/>
              </w:rPr>
            </w:r>
            <w:r>
              <w:rPr>
                <w:noProof/>
                <w:webHidden/>
              </w:rPr>
              <w:fldChar w:fldCharType="separate"/>
            </w:r>
            <w:r>
              <w:rPr>
                <w:noProof/>
                <w:webHidden/>
              </w:rPr>
              <w:t>17</w:t>
            </w:r>
            <w:r>
              <w:rPr>
                <w:noProof/>
                <w:webHidden/>
              </w:rPr>
              <w:fldChar w:fldCharType="end"/>
            </w:r>
          </w:hyperlink>
        </w:p>
        <w:p w14:paraId="7875F9B8" w14:textId="7ECAE1A3" w:rsidR="0025369D" w:rsidRDefault="0025369D">
          <w:pPr>
            <w:pStyle w:val="TOC2"/>
            <w:tabs>
              <w:tab w:val="right" w:leader="dot" w:pos="9350"/>
            </w:tabs>
            <w:rPr>
              <w:rFonts w:cstheme="minorBidi"/>
              <w:noProof/>
            </w:rPr>
          </w:pPr>
          <w:hyperlink w:anchor="_Toc58588120" w:history="1">
            <w:r w:rsidRPr="00F35577">
              <w:rPr>
                <w:rStyle w:val="Hyperlink"/>
                <w:noProof/>
              </w:rPr>
              <w:t>Can STOP funds be used to support human trafficking programs?</w:t>
            </w:r>
            <w:r>
              <w:rPr>
                <w:noProof/>
                <w:webHidden/>
              </w:rPr>
              <w:tab/>
            </w:r>
            <w:r>
              <w:rPr>
                <w:noProof/>
                <w:webHidden/>
              </w:rPr>
              <w:fldChar w:fldCharType="begin"/>
            </w:r>
            <w:r>
              <w:rPr>
                <w:noProof/>
                <w:webHidden/>
              </w:rPr>
              <w:instrText xml:space="preserve"> PAGEREF _Toc58588120 \h </w:instrText>
            </w:r>
            <w:r>
              <w:rPr>
                <w:noProof/>
                <w:webHidden/>
              </w:rPr>
            </w:r>
            <w:r>
              <w:rPr>
                <w:noProof/>
                <w:webHidden/>
              </w:rPr>
              <w:fldChar w:fldCharType="separate"/>
            </w:r>
            <w:r>
              <w:rPr>
                <w:noProof/>
                <w:webHidden/>
              </w:rPr>
              <w:t>17</w:t>
            </w:r>
            <w:r>
              <w:rPr>
                <w:noProof/>
                <w:webHidden/>
              </w:rPr>
              <w:fldChar w:fldCharType="end"/>
            </w:r>
          </w:hyperlink>
        </w:p>
        <w:p w14:paraId="60FA0D11" w14:textId="5EABC6E7" w:rsidR="0025369D" w:rsidRDefault="0025369D">
          <w:pPr>
            <w:pStyle w:val="TOC2"/>
            <w:tabs>
              <w:tab w:val="right" w:leader="dot" w:pos="9350"/>
            </w:tabs>
            <w:rPr>
              <w:rFonts w:cstheme="minorBidi"/>
              <w:noProof/>
            </w:rPr>
          </w:pPr>
          <w:hyperlink w:anchor="_Toc58588121" w:history="1">
            <w:r w:rsidRPr="00F35577">
              <w:rPr>
                <w:rStyle w:val="Hyperlink"/>
                <w:noProof/>
              </w:rPr>
              <w:t>Does my program qualify to provide 'culturally specific' services under STOP?</w:t>
            </w:r>
            <w:r>
              <w:rPr>
                <w:noProof/>
                <w:webHidden/>
              </w:rPr>
              <w:tab/>
            </w:r>
            <w:r>
              <w:rPr>
                <w:noProof/>
                <w:webHidden/>
              </w:rPr>
              <w:fldChar w:fldCharType="begin"/>
            </w:r>
            <w:r>
              <w:rPr>
                <w:noProof/>
                <w:webHidden/>
              </w:rPr>
              <w:instrText xml:space="preserve"> PAGEREF _Toc58588121 \h </w:instrText>
            </w:r>
            <w:r>
              <w:rPr>
                <w:noProof/>
                <w:webHidden/>
              </w:rPr>
            </w:r>
            <w:r>
              <w:rPr>
                <w:noProof/>
                <w:webHidden/>
              </w:rPr>
              <w:fldChar w:fldCharType="separate"/>
            </w:r>
            <w:r>
              <w:rPr>
                <w:noProof/>
                <w:webHidden/>
              </w:rPr>
              <w:t>17</w:t>
            </w:r>
            <w:r>
              <w:rPr>
                <w:noProof/>
                <w:webHidden/>
              </w:rPr>
              <w:fldChar w:fldCharType="end"/>
            </w:r>
          </w:hyperlink>
        </w:p>
        <w:p w14:paraId="73D41D83" w14:textId="00C80C97" w:rsidR="0025369D" w:rsidRDefault="0025369D">
          <w:pPr>
            <w:pStyle w:val="TOC2"/>
            <w:tabs>
              <w:tab w:val="right" w:leader="dot" w:pos="9350"/>
            </w:tabs>
            <w:rPr>
              <w:rFonts w:cstheme="minorBidi"/>
              <w:noProof/>
            </w:rPr>
          </w:pPr>
          <w:hyperlink w:anchor="_Toc58588122" w:history="1">
            <w:r w:rsidRPr="00F35577">
              <w:rPr>
                <w:rStyle w:val="Hyperlink"/>
                <w:noProof/>
              </w:rPr>
              <w:t>Can other underserved populations, such as Deaf victims, LGBT victims, and religious minorities be considered culturally specific under VAWA STOP?</w:t>
            </w:r>
            <w:r>
              <w:rPr>
                <w:noProof/>
                <w:webHidden/>
              </w:rPr>
              <w:tab/>
            </w:r>
            <w:r>
              <w:rPr>
                <w:noProof/>
                <w:webHidden/>
              </w:rPr>
              <w:fldChar w:fldCharType="begin"/>
            </w:r>
            <w:r>
              <w:rPr>
                <w:noProof/>
                <w:webHidden/>
              </w:rPr>
              <w:instrText xml:space="preserve"> PAGEREF _Toc58588122 \h </w:instrText>
            </w:r>
            <w:r>
              <w:rPr>
                <w:noProof/>
                <w:webHidden/>
              </w:rPr>
            </w:r>
            <w:r>
              <w:rPr>
                <w:noProof/>
                <w:webHidden/>
              </w:rPr>
              <w:fldChar w:fldCharType="separate"/>
            </w:r>
            <w:r>
              <w:rPr>
                <w:noProof/>
                <w:webHidden/>
              </w:rPr>
              <w:t>18</w:t>
            </w:r>
            <w:r>
              <w:rPr>
                <w:noProof/>
                <w:webHidden/>
              </w:rPr>
              <w:fldChar w:fldCharType="end"/>
            </w:r>
          </w:hyperlink>
        </w:p>
        <w:p w14:paraId="2B7D30B7" w14:textId="619F177A" w:rsidR="0025369D" w:rsidRDefault="0025369D">
          <w:pPr>
            <w:pStyle w:val="TOC2"/>
            <w:tabs>
              <w:tab w:val="right" w:leader="dot" w:pos="9350"/>
            </w:tabs>
            <w:rPr>
              <w:rFonts w:cstheme="minorBidi"/>
              <w:noProof/>
            </w:rPr>
          </w:pPr>
          <w:hyperlink w:anchor="_Toc58588123" w:history="1">
            <w:r w:rsidRPr="00F35577">
              <w:rPr>
                <w:rStyle w:val="Hyperlink"/>
                <w:noProof/>
              </w:rPr>
              <w:t>Can STOP funds be used to provide services to children?</w:t>
            </w:r>
            <w:r>
              <w:rPr>
                <w:noProof/>
                <w:webHidden/>
              </w:rPr>
              <w:tab/>
            </w:r>
            <w:r>
              <w:rPr>
                <w:noProof/>
                <w:webHidden/>
              </w:rPr>
              <w:fldChar w:fldCharType="begin"/>
            </w:r>
            <w:r>
              <w:rPr>
                <w:noProof/>
                <w:webHidden/>
              </w:rPr>
              <w:instrText xml:space="preserve"> PAGEREF _Toc58588123 \h </w:instrText>
            </w:r>
            <w:r>
              <w:rPr>
                <w:noProof/>
                <w:webHidden/>
              </w:rPr>
            </w:r>
            <w:r>
              <w:rPr>
                <w:noProof/>
                <w:webHidden/>
              </w:rPr>
              <w:fldChar w:fldCharType="separate"/>
            </w:r>
            <w:r>
              <w:rPr>
                <w:noProof/>
                <w:webHidden/>
              </w:rPr>
              <w:t>18</w:t>
            </w:r>
            <w:r>
              <w:rPr>
                <w:noProof/>
                <w:webHidden/>
              </w:rPr>
              <w:fldChar w:fldCharType="end"/>
            </w:r>
          </w:hyperlink>
        </w:p>
        <w:p w14:paraId="7CC29559" w14:textId="01F23DF9" w:rsidR="0025369D" w:rsidRDefault="0025369D">
          <w:pPr>
            <w:pStyle w:val="TOC2"/>
            <w:tabs>
              <w:tab w:val="right" w:leader="dot" w:pos="9350"/>
            </w:tabs>
            <w:rPr>
              <w:rFonts w:cstheme="minorBidi"/>
              <w:noProof/>
            </w:rPr>
          </w:pPr>
          <w:hyperlink w:anchor="_Toc58588124" w:history="1">
            <w:r w:rsidRPr="00F35577">
              <w:rPr>
                <w:rStyle w:val="Hyperlink"/>
                <w:noProof/>
              </w:rPr>
              <w:t>Can STOP funds be used to support prevention programs a media campaigns about violence against women?</w:t>
            </w:r>
            <w:r>
              <w:rPr>
                <w:noProof/>
                <w:webHidden/>
              </w:rPr>
              <w:tab/>
            </w:r>
            <w:r>
              <w:rPr>
                <w:noProof/>
                <w:webHidden/>
              </w:rPr>
              <w:fldChar w:fldCharType="begin"/>
            </w:r>
            <w:r>
              <w:rPr>
                <w:noProof/>
                <w:webHidden/>
              </w:rPr>
              <w:instrText xml:space="preserve"> PAGEREF _Toc58588124 \h </w:instrText>
            </w:r>
            <w:r>
              <w:rPr>
                <w:noProof/>
                <w:webHidden/>
              </w:rPr>
            </w:r>
            <w:r>
              <w:rPr>
                <w:noProof/>
                <w:webHidden/>
              </w:rPr>
              <w:fldChar w:fldCharType="separate"/>
            </w:r>
            <w:r>
              <w:rPr>
                <w:noProof/>
                <w:webHidden/>
              </w:rPr>
              <w:t>18</w:t>
            </w:r>
            <w:r>
              <w:rPr>
                <w:noProof/>
                <w:webHidden/>
              </w:rPr>
              <w:fldChar w:fldCharType="end"/>
            </w:r>
          </w:hyperlink>
        </w:p>
        <w:p w14:paraId="4FE8725D" w14:textId="1DFC5C95" w:rsidR="0025369D" w:rsidRDefault="0025369D">
          <w:pPr>
            <w:pStyle w:val="TOC2"/>
            <w:tabs>
              <w:tab w:val="right" w:leader="dot" w:pos="9350"/>
            </w:tabs>
            <w:rPr>
              <w:rFonts w:cstheme="minorBidi"/>
              <w:noProof/>
            </w:rPr>
          </w:pPr>
          <w:hyperlink w:anchor="_Toc58588125" w:history="1">
            <w:r w:rsidRPr="00F35577">
              <w:rPr>
                <w:rStyle w:val="Hyperlink"/>
                <w:noProof/>
              </w:rPr>
              <w:t>What is the difference between prevention/education (which is limited to 5% of the State’s award) and "outreach"?</w:t>
            </w:r>
            <w:r>
              <w:rPr>
                <w:noProof/>
                <w:webHidden/>
              </w:rPr>
              <w:tab/>
            </w:r>
            <w:r>
              <w:rPr>
                <w:noProof/>
                <w:webHidden/>
              </w:rPr>
              <w:fldChar w:fldCharType="begin"/>
            </w:r>
            <w:r>
              <w:rPr>
                <w:noProof/>
                <w:webHidden/>
              </w:rPr>
              <w:instrText xml:space="preserve"> PAGEREF _Toc58588125 \h </w:instrText>
            </w:r>
            <w:r>
              <w:rPr>
                <w:noProof/>
                <w:webHidden/>
              </w:rPr>
            </w:r>
            <w:r>
              <w:rPr>
                <w:noProof/>
                <w:webHidden/>
              </w:rPr>
              <w:fldChar w:fldCharType="separate"/>
            </w:r>
            <w:r>
              <w:rPr>
                <w:noProof/>
                <w:webHidden/>
              </w:rPr>
              <w:t>18</w:t>
            </w:r>
            <w:r>
              <w:rPr>
                <w:noProof/>
                <w:webHidden/>
              </w:rPr>
              <w:fldChar w:fldCharType="end"/>
            </w:r>
          </w:hyperlink>
        </w:p>
        <w:p w14:paraId="23783D84" w14:textId="259D0204" w:rsidR="0025369D" w:rsidRDefault="0025369D">
          <w:pPr>
            <w:pStyle w:val="TOC2"/>
            <w:tabs>
              <w:tab w:val="right" w:leader="dot" w:pos="9350"/>
            </w:tabs>
            <w:rPr>
              <w:rFonts w:cstheme="minorBidi"/>
              <w:noProof/>
            </w:rPr>
          </w:pPr>
          <w:hyperlink w:anchor="_Toc58588126" w:history="1">
            <w:r w:rsidRPr="00F35577">
              <w:rPr>
                <w:rStyle w:val="Hyperlink"/>
                <w:noProof/>
              </w:rPr>
              <w:t>Can STOP funds be used for vehicle purchases?</w:t>
            </w:r>
            <w:r>
              <w:rPr>
                <w:noProof/>
                <w:webHidden/>
              </w:rPr>
              <w:tab/>
            </w:r>
            <w:r>
              <w:rPr>
                <w:noProof/>
                <w:webHidden/>
              </w:rPr>
              <w:fldChar w:fldCharType="begin"/>
            </w:r>
            <w:r>
              <w:rPr>
                <w:noProof/>
                <w:webHidden/>
              </w:rPr>
              <w:instrText xml:space="preserve"> PAGEREF _Toc58588126 \h </w:instrText>
            </w:r>
            <w:r>
              <w:rPr>
                <w:noProof/>
                <w:webHidden/>
              </w:rPr>
            </w:r>
            <w:r>
              <w:rPr>
                <w:noProof/>
                <w:webHidden/>
              </w:rPr>
              <w:fldChar w:fldCharType="separate"/>
            </w:r>
            <w:r>
              <w:rPr>
                <w:noProof/>
                <w:webHidden/>
              </w:rPr>
              <w:t>18</w:t>
            </w:r>
            <w:r>
              <w:rPr>
                <w:noProof/>
                <w:webHidden/>
              </w:rPr>
              <w:fldChar w:fldCharType="end"/>
            </w:r>
          </w:hyperlink>
        </w:p>
        <w:p w14:paraId="56DCC1BA" w14:textId="395323AE" w:rsidR="0025369D" w:rsidRDefault="0025369D">
          <w:pPr>
            <w:pStyle w:val="TOC2"/>
            <w:tabs>
              <w:tab w:val="right" w:leader="dot" w:pos="9350"/>
            </w:tabs>
            <w:rPr>
              <w:rFonts w:cstheme="minorBidi"/>
              <w:noProof/>
            </w:rPr>
          </w:pPr>
          <w:hyperlink w:anchor="_Toc58588127" w:history="1">
            <w:r w:rsidRPr="00F35577">
              <w:rPr>
                <w:rStyle w:val="Hyperlink"/>
                <w:noProof/>
              </w:rPr>
              <w:t>Can STOP funds be used for minor renovations or construction?</w:t>
            </w:r>
            <w:r>
              <w:rPr>
                <w:noProof/>
                <w:webHidden/>
              </w:rPr>
              <w:tab/>
            </w:r>
            <w:r>
              <w:rPr>
                <w:noProof/>
                <w:webHidden/>
              </w:rPr>
              <w:fldChar w:fldCharType="begin"/>
            </w:r>
            <w:r>
              <w:rPr>
                <w:noProof/>
                <w:webHidden/>
              </w:rPr>
              <w:instrText xml:space="preserve"> PAGEREF _Toc58588127 \h </w:instrText>
            </w:r>
            <w:r>
              <w:rPr>
                <w:noProof/>
                <w:webHidden/>
              </w:rPr>
            </w:r>
            <w:r>
              <w:rPr>
                <w:noProof/>
                <w:webHidden/>
              </w:rPr>
              <w:fldChar w:fldCharType="separate"/>
            </w:r>
            <w:r>
              <w:rPr>
                <w:noProof/>
                <w:webHidden/>
              </w:rPr>
              <w:t>18</w:t>
            </w:r>
            <w:r>
              <w:rPr>
                <w:noProof/>
                <w:webHidden/>
              </w:rPr>
              <w:fldChar w:fldCharType="end"/>
            </w:r>
          </w:hyperlink>
        </w:p>
        <w:p w14:paraId="6E00CF10" w14:textId="21434B72" w:rsidR="0025369D" w:rsidRDefault="0025369D">
          <w:pPr>
            <w:pStyle w:val="TOC2"/>
            <w:tabs>
              <w:tab w:val="right" w:leader="dot" w:pos="9350"/>
            </w:tabs>
            <w:rPr>
              <w:rFonts w:cstheme="minorBidi"/>
              <w:noProof/>
            </w:rPr>
          </w:pPr>
          <w:hyperlink w:anchor="_Toc58588128" w:history="1">
            <w:r w:rsidRPr="00F35577">
              <w:rPr>
                <w:rStyle w:val="Hyperlink"/>
                <w:noProof/>
              </w:rPr>
              <w:t>Who can receive STOP funding under the courts priority?</w:t>
            </w:r>
            <w:r>
              <w:rPr>
                <w:noProof/>
                <w:webHidden/>
              </w:rPr>
              <w:tab/>
            </w:r>
            <w:r>
              <w:rPr>
                <w:noProof/>
                <w:webHidden/>
              </w:rPr>
              <w:fldChar w:fldCharType="begin"/>
            </w:r>
            <w:r>
              <w:rPr>
                <w:noProof/>
                <w:webHidden/>
              </w:rPr>
              <w:instrText xml:space="preserve"> PAGEREF _Toc58588128 \h </w:instrText>
            </w:r>
            <w:r>
              <w:rPr>
                <w:noProof/>
                <w:webHidden/>
              </w:rPr>
            </w:r>
            <w:r>
              <w:rPr>
                <w:noProof/>
                <w:webHidden/>
              </w:rPr>
              <w:fldChar w:fldCharType="separate"/>
            </w:r>
            <w:r>
              <w:rPr>
                <w:noProof/>
                <w:webHidden/>
              </w:rPr>
              <w:t>19</w:t>
            </w:r>
            <w:r>
              <w:rPr>
                <w:noProof/>
                <w:webHidden/>
              </w:rPr>
              <w:fldChar w:fldCharType="end"/>
            </w:r>
          </w:hyperlink>
        </w:p>
        <w:p w14:paraId="3014987E" w14:textId="1A95CE95" w:rsidR="0025369D" w:rsidRDefault="0025369D">
          <w:pPr>
            <w:pStyle w:val="TOC2"/>
            <w:tabs>
              <w:tab w:val="right" w:leader="dot" w:pos="9350"/>
            </w:tabs>
            <w:rPr>
              <w:rFonts w:cstheme="minorBidi"/>
              <w:noProof/>
            </w:rPr>
          </w:pPr>
          <w:hyperlink w:anchor="_Toc58588129" w:history="1">
            <w:r w:rsidRPr="00F35577">
              <w:rPr>
                <w:rStyle w:val="Hyperlink"/>
                <w:noProof/>
              </w:rPr>
              <w:t>Who can serve on the State’s STOP Implementation Plan Advisory Group?</w:t>
            </w:r>
            <w:r>
              <w:rPr>
                <w:noProof/>
                <w:webHidden/>
              </w:rPr>
              <w:tab/>
            </w:r>
            <w:r>
              <w:rPr>
                <w:noProof/>
                <w:webHidden/>
              </w:rPr>
              <w:fldChar w:fldCharType="begin"/>
            </w:r>
            <w:r>
              <w:rPr>
                <w:noProof/>
                <w:webHidden/>
              </w:rPr>
              <w:instrText xml:space="preserve"> PAGEREF _Toc58588129 \h </w:instrText>
            </w:r>
            <w:r>
              <w:rPr>
                <w:noProof/>
                <w:webHidden/>
              </w:rPr>
            </w:r>
            <w:r>
              <w:rPr>
                <w:noProof/>
                <w:webHidden/>
              </w:rPr>
              <w:fldChar w:fldCharType="separate"/>
            </w:r>
            <w:r>
              <w:rPr>
                <w:noProof/>
                <w:webHidden/>
              </w:rPr>
              <w:t>19</w:t>
            </w:r>
            <w:r>
              <w:rPr>
                <w:noProof/>
                <w:webHidden/>
              </w:rPr>
              <w:fldChar w:fldCharType="end"/>
            </w:r>
          </w:hyperlink>
        </w:p>
        <w:p w14:paraId="212AE108" w14:textId="6583C8ED" w:rsidR="0025369D" w:rsidRDefault="0025369D">
          <w:pPr>
            <w:pStyle w:val="TOC2"/>
            <w:tabs>
              <w:tab w:val="right" w:leader="dot" w:pos="9350"/>
            </w:tabs>
            <w:rPr>
              <w:rFonts w:cstheme="minorBidi"/>
              <w:noProof/>
            </w:rPr>
          </w:pPr>
          <w:hyperlink w:anchor="_Toc58588130" w:history="1">
            <w:r w:rsidRPr="00F35577">
              <w:rPr>
                <w:rStyle w:val="Hyperlink"/>
                <w:noProof/>
              </w:rPr>
              <w:t>Why does my project have two STOP Annual Reports due for one funding year?</w:t>
            </w:r>
            <w:r>
              <w:rPr>
                <w:noProof/>
                <w:webHidden/>
              </w:rPr>
              <w:tab/>
            </w:r>
            <w:r>
              <w:rPr>
                <w:noProof/>
                <w:webHidden/>
              </w:rPr>
              <w:fldChar w:fldCharType="begin"/>
            </w:r>
            <w:r>
              <w:rPr>
                <w:noProof/>
                <w:webHidden/>
              </w:rPr>
              <w:instrText xml:space="preserve"> PAGEREF _Toc58588130 \h </w:instrText>
            </w:r>
            <w:r>
              <w:rPr>
                <w:noProof/>
                <w:webHidden/>
              </w:rPr>
            </w:r>
            <w:r>
              <w:rPr>
                <w:noProof/>
                <w:webHidden/>
              </w:rPr>
              <w:fldChar w:fldCharType="separate"/>
            </w:r>
            <w:r>
              <w:rPr>
                <w:noProof/>
                <w:webHidden/>
              </w:rPr>
              <w:t>19</w:t>
            </w:r>
            <w:r>
              <w:rPr>
                <w:noProof/>
                <w:webHidden/>
              </w:rPr>
              <w:fldChar w:fldCharType="end"/>
            </w:r>
          </w:hyperlink>
        </w:p>
        <w:p w14:paraId="2ACCF73C" w14:textId="5B58A4A1" w:rsidR="00847C11" w:rsidRDefault="00847C11">
          <w:r>
            <w:rPr>
              <w:b/>
              <w:bCs/>
              <w:noProof/>
            </w:rPr>
            <w:fldChar w:fldCharType="end"/>
          </w:r>
        </w:p>
      </w:sdtContent>
    </w:sdt>
    <w:p w14:paraId="14357D82" w14:textId="77777777" w:rsidR="006B1EE3" w:rsidRDefault="006B1EE3">
      <w:pPr>
        <w:pStyle w:val="TOC3"/>
        <w:ind w:left="446"/>
      </w:pPr>
    </w:p>
    <w:p w14:paraId="631CAD5B" w14:textId="77777777" w:rsidR="007973BA" w:rsidRDefault="007973BA">
      <w:pPr>
        <w:rPr>
          <w:b/>
        </w:rPr>
      </w:pPr>
      <w:r>
        <w:rPr>
          <w:b/>
        </w:rPr>
        <w:br w:type="page"/>
      </w:r>
    </w:p>
    <w:p w14:paraId="7411179A" w14:textId="4C81353F" w:rsidR="00847C11" w:rsidRPr="00847C11" w:rsidRDefault="007973BA" w:rsidP="00F43CCA">
      <w:pPr>
        <w:pStyle w:val="Heading1"/>
      </w:pPr>
      <w:bookmarkStart w:id="0" w:name="_Toc58588063"/>
      <w:r w:rsidRPr="00A60AA6">
        <w:lastRenderedPageBreak/>
        <w:t>Application Process and GEMS</w:t>
      </w:r>
      <w:bookmarkEnd w:id="0"/>
    </w:p>
    <w:p w14:paraId="4EC35CB7" w14:textId="071F2D83" w:rsidR="007973BA" w:rsidRPr="00D2403A" w:rsidRDefault="007973BA" w:rsidP="00D2403A">
      <w:pPr>
        <w:pStyle w:val="Heading2"/>
      </w:pPr>
      <w:bookmarkStart w:id="1" w:name="_Toc58588064"/>
      <w:r w:rsidRPr="00D2403A">
        <w:t xml:space="preserve">What is SAM.gov, and how </w:t>
      </w:r>
      <w:r w:rsidR="008B0E59" w:rsidRPr="00D2403A">
        <w:t>do I register my organization?</w:t>
      </w:r>
      <w:bookmarkEnd w:id="1"/>
    </w:p>
    <w:p w14:paraId="37C8B65E" w14:textId="6BFE00DE" w:rsidR="00F179B1" w:rsidRDefault="00213C07" w:rsidP="007973BA">
      <w:r>
        <w:t>The System for Award Management (SAM) is an official website of the U.S. government</w:t>
      </w:r>
      <w:proofErr w:type="gramStart"/>
      <w:r>
        <w:t xml:space="preserve">. </w:t>
      </w:r>
      <w:proofErr w:type="gramEnd"/>
      <w:r>
        <w:t xml:space="preserve">You must register online </w:t>
      </w:r>
      <w:r w:rsidR="000C327B">
        <w:t xml:space="preserve">and then update your registration annually </w:t>
      </w:r>
      <w:r>
        <w:t xml:space="preserve">in order to </w:t>
      </w:r>
      <w:r w:rsidR="00A50890">
        <w:t xml:space="preserve">apply for and </w:t>
      </w:r>
      <w:r w:rsidR="000C327B">
        <w:t xml:space="preserve">receive </w:t>
      </w:r>
      <w:r>
        <w:t>Federal Government</w:t>
      </w:r>
      <w:r w:rsidR="000C327B">
        <w:t xml:space="preserve"> funds</w:t>
      </w:r>
      <w:proofErr w:type="gramStart"/>
      <w:r w:rsidR="004A1F2B">
        <w:t xml:space="preserve">. </w:t>
      </w:r>
      <w:proofErr w:type="gramEnd"/>
      <w:r w:rsidR="00A63A5C">
        <w:t>To register, you will need the following:</w:t>
      </w:r>
    </w:p>
    <w:p w14:paraId="2A08FE7B" w14:textId="77777777" w:rsidR="00A63A5C" w:rsidRDefault="00A63A5C" w:rsidP="00A63A5C">
      <w:pPr>
        <w:pStyle w:val="ListParagraph"/>
        <w:numPr>
          <w:ilvl w:val="0"/>
          <w:numId w:val="7"/>
        </w:numPr>
      </w:pPr>
      <w:r>
        <w:t>Your DUNS Number, Legal Business Name, and Physical Address from your Dun &amp; Bradstreet (D&amp;B) record.</w:t>
      </w:r>
    </w:p>
    <w:p w14:paraId="36176F5A" w14:textId="77777777" w:rsidR="00A63A5C" w:rsidRDefault="00A63A5C" w:rsidP="00A63A5C">
      <w:pPr>
        <w:pStyle w:val="ListParagraph"/>
        <w:numPr>
          <w:ilvl w:val="0"/>
          <w:numId w:val="7"/>
        </w:numPr>
      </w:pPr>
      <w:r>
        <w:t>Your Taxpayer Identification Number (TIN) and Taxpayer Name associated with your TIN.  Review your tax documents from the IRS to find your Taxpayer Name.</w:t>
      </w:r>
    </w:p>
    <w:p w14:paraId="3C17B227" w14:textId="77777777" w:rsidR="00A63A5C" w:rsidRDefault="00A63A5C" w:rsidP="00A63A5C">
      <w:pPr>
        <w:pStyle w:val="ListParagraph"/>
        <w:numPr>
          <w:ilvl w:val="0"/>
          <w:numId w:val="7"/>
        </w:numPr>
      </w:pPr>
      <w:r>
        <w:t>Your bank’s routing number, your bank account number, and your bank account type.</w:t>
      </w:r>
    </w:p>
    <w:p w14:paraId="741A4F91" w14:textId="63E4A6B4" w:rsidR="00A63A5C" w:rsidRPr="008B0E59" w:rsidRDefault="00A63A5C" w:rsidP="00A63A5C">
      <w:r>
        <w:t xml:space="preserve">You must have a SAM.gov registration in order to </w:t>
      </w:r>
      <w:r w:rsidR="00A50890">
        <w:t xml:space="preserve">apply for and </w:t>
      </w:r>
      <w:r>
        <w:t>receive Federal grant funding.</w:t>
      </w:r>
      <w:r w:rsidR="00216600">
        <w:t xml:space="preserve">  You can register for SAM at </w:t>
      </w:r>
      <w:r w:rsidR="00216600" w:rsidRPr="00216600">
        <w:t>https://www.sam.gov/SAM/</w:t>
      </w:r>
      <w:r w:rsidR="00216600">
        <w:t>.</w:t>
      </w:r>
    </w:p>
    <w:p w14:paraId="306B5FDE" w14:textId="56D4BFD5" w:rsidR="007973BA" w:rsidRPr="00AC7465" w:rsidRDefault="007973BA" w:rsidP="00847C11">
      <w:pPr>
        <w:pStyle w:val="Heading2"/>
      </w:pPr>
      <w:bookmarkStart w:id="2" w:name="_Toc58588065"/>
      <w:r w:rsidRPr="00AC7465">
        <w:t xml:space="preserve">How do I obtain a DUNS </w:t>
      </w:r>
      <w:r w:rsidR="008B0E59" w:rsidRPr="00AC7465">
        <w:t>number?</w:t>
      </w:r>
      <w:bookmarkEnd w:id="2"/>
    </w:p>
    <w:p w14:paraId="22499A99" w14:textId="6C21645D" w:rsidR="00A63A5C" w:rsidRDefault="00F73C5C" w:rsidP="007973BA">
      <w:r>
        <w:t>The Dun &amp; Bradstreet D-U-N-S Number is a unique, nine-digit identifier for businesses</w:t>
      </w:r>
      <w:r w:rsidR="000C327B">
        <w:t xml:space="preserve"> and organizations</w:t>
      </w:r>
      <w:r w:rsidR="00AC7465">
        <w:t>, whose abbreviation stands for “data universal numbering system”</w:t>
      </w:r>
      <w:proofErr w:type="gramStart"/>
      <w:r>
        <w:t>.</w:t>
      </w:r>
      <w:r w:rsidR="00AC7465">
        <w:t xml:space="preserve"> </w:t>
      </w:r>
      <w:proofErr w:type="gramEnd"/>
      <w:r w:rsidR="00AC7465">
        <w:t>The DUNS numbers are often used to identify and access information on businesses.</w:t>
      </w:r>
    </w:p>
    <w:p w14:paraId="7CBC95FA" w14:textId="5360FBC6" w:rsidR="00AC7465" w:rsidRDefault="00AC7465" w:rsidP="007973BA">
      <w:r>
        <w:t xml:space="preserve">You may request a DUNS Number for free by going to: </w:t>
      </w:r>
      <w:hyperlink r:id="rId12" w:history="1">
        <w:r w:rsidR="001168C6" w:rsidRPr="003C5B15">
          <w:rPr>
            <w:rStyle w:val="Hyperlink"/>
          </w:rPr>
          <w:t>http://fedgov.dnb.com/</w:t>
        </w:r>
      </w:hyperlink>
    </w:p>
    <w:p w14:paraId="69D29313" w14:textId="46CF0B2A" w:rsidR="007973BA" w:rsidRPr="002034C3" w:rsidRDefault="008B0E59" w:rsidP="00847C11">
      <w:pPr>
        <w:pStyle w:val="Heading2"/>
      </w:pPr>
      <w:bookmarkStart w:id="3" w:name="_Toc58588066"/>
      <w:r w:rsidRPr="002034C3">
        <w:t>Who requires an NCID?</w:t>
      </w:r>
      <w:bookmarkEnd w:id="3"/>
    </w:p>
    <w:p w14:paraId="4E613876" w14:textId="25FE797F" w:rsidR="002B04DC" w:rsidRDefault="0026214C" w:rsidP="007973BA">
      <w:r>
        <w:t>To</w:t>
      </w:r>
      <w:r w:rsidR="00F8042F">
        <w:t xml:space="preserve"> access the GEMS system, </w:t>
      </w:r>
      <w:r w:rsidR="00256EE9">
        <w:t>applicants and subrecipients</w:t>
      </w:r>
      <w:r w:rsidR="00F8042F">
        <w:t xml:space="preserve"> must have an NCID</w:t>
      </w:r>
      <w:proofErr w:type="gramStart"/>
      <w:r w:rsidR="00F8042F">
        <w:t>.</w:t>
      </w:r>
      <w:r w:rsidR="00DB4E43">
        <w:t xml:space="preserve"> </w:t>
      </w:r>
      <w:proofErr w:type="gramEnd"/>
      <w:r w:rsidR="00DB4E43">
        <w:t>At a minimum,</w:t>
      </w:r>
      <w:r w:rsidR="000C327B">
        <w:t xml:space="preserve"> the </w:t>
      </w:r>
      <w:r w:rsidR="00DB4E43">
        <w:t>Project Director, Financial Officer, and Authorizing Official</w:t>
      </w:r>
      <w:r w:rsidR="000C327B">
        <w:t xml:space="preserve"> for the organization/project must each have their own individual NCID</w:t>
      </w:r>
      <w:r w:rsidR="00DB4E43">
        <w:t xml:space="preserve">.  Users </w:t>
      </w:r>
      <w:r w:rsidR="00A50890">
        <w:t xml:space="preserve">must </w:t>
      </w:r>
      <w:r w:rsidR="00DB4E43">
        <w:t>not share their NCID credentials with others.</w:t>
      </w:r>
    </w:p>
    <w:p w14:paraId="02BFEAAD" w14:textId="77777777" w:rsidR="00DB4E43" w:rsidRDefault="00DB4E43" w:rsidP="007973BA">
      <w:r>
        <w:t xml:space="preserve">You may register for your NCID by going to: </w:t>
      </w:r>
      <w:hyperlink r:id="rId13" w:history="1">
        <w:r w:rsidRPr="009153D6">
          <w:rPr>
            <w:rStyle w:val="Hyperlink"/>
          </w:rPr>
          <w:t>https://ncid.nc.gov/</w:t>
        </w:r>
      </w:hyperlink>
    </w:p>
    <w:p w14:paraId="179AA03A" w14:textId="62F480F6" w:rsidR="00DB4E43" w:rsidRDefault="002034C3" w:rsidP="007973BA">
      <w:r>
        <w:t>All users must adhere to the NCID Acceptable Use Policy</w:t>
      </w:r>
      <w:proofErr w:type="gramStart"/>
      <w:r>
        <w:t xml:space="preserve">. </w:t>
      </w:r>
      <w:proofErr w:type="gramEnd"/>
      <w:r>
        <w:t>Violation of the policy could result in disciplinary action, termination, loss of information resources, and criminal prosecution.</w:t>
      </w:r>
    </w:p>
    <w:tbl>
      <w:tblPr>
        <w:tblStyle w:val="TableGrid"/>
        <w:tblW w:w="9900" w:type="dxa"/>
        <w:tblLook w:val="04A0" w:firstRow="1" w:lastRow="0" w:firstColumn="1" w:lastColumn="0" w:noHBand="0" w:noVBand="1"/>
      </w:tblPr>
      <w:tblGrid>
        <w:gridCol w:w="3775"/>
        <w:gridCol w:w="6125"/>
      </w:tblGrid>
      <w:tr w:rsidR="00216600" w:rsidRPr="002F274C" w14:paraId="4585059B" w14:textId="77777777" w:rsidTr="00216600">
        <w:tc>
          <w:tcPr>
            <w:tcW w:w="3775" w:type="dxa"/>
          </w:tcPr>
          <w:p w14:paraId="39CF4988" w14:textId="77777777" w:rsidR="00216600" w:rsidRPr="002F274C" w:rsidRDefault="00216600" w:rsidP="00216600">
            <w:pPr>
              <w:rPr>
                <w:b/>
              </w:rPr>
            </w:pPr>
            <w:r w:rsidRPr="002F274C">
              <w:rPr>
                <w:b/>
              </w:rPr>
              <w:t>ORGANIZATION</w:t>
            </w:r>
            <w:r>
              <w:rPr>
                <w:b/>
              </w:rPr>
              <w:t>AL</w:t>
            </w:r>
            <w:r w:rsidRPr="002F274C">
              <w:rPr>
                <w:b/>
              </w:rPr>
              <w:t xml:space="preserve"> ROLE/RESPONSIBILITIES</w:t>
            </w:r>
          </w:p>
        </w:tc>
        <w:tc>
          <w:tcPr>
            <w:tcW w:w="6125" w:type="dxa"/>
          </w:tcPr>
          <w:p w14:paraId="6044ABF0" w14:textId="77777777" w:rsidR="00216600" w:rsidRPr="002F274C" w:rsidRDefault="00216600" w:rsidP="00216600">
            <w:pPr>
              <w:rPr>
                <w:b/>
              </w:rPr>
            </w:pPr>
            <w:r w:rsidRPr="002F274C">
              <w:rPr>
                <w:b/>
              </w:rPr>
              <w:t>REQUIRED AGENCY CONTACT</w:t>
            </w:r>
          </w:p>
        </w:tc>
      </w:tr>
      <w:tr w:rsidR="00216600" w14:paraId="544BE095" w14:textId="77777777" w:rsidTr="00216600">
        <w:tc>
          <w:tcPr>
            <w:tcW w:w="3775" w:type="dxa"/>
          </w:tcPr>
          <w:p w14:paraId="1B34E8F9" w14:textId="77777777" w:rsidR="00216600" w:rsidRPr="00774AD8" w:rsidRDefault="00216600" w:rsidP="00216600">
            <w:pPr>
              <w:rPr>
                <w:b/>
              </w:rPr>
            </w:pPr>
            <w:r w:rsidRPr="00774AD8">
              <w:rPr>
                <w:b/>
              </w:rPr>
              <w:t>Authorizing Official (AO)</w:t>
            </w:r>
          </w:p>
          <w:p w14:paraId="57DA4DE1" w14:textId="77777777" w:rsidR="00216600" w:rsidRDefault="00216600" w:rsidP="00216600">
            <w:pPr>
              <w:pStyle w:val="ListParagraph"/>
              <w:numPr>
                <w:ilvl w:val="0"/>
                <w:numId w:val="14"/>
              </w:numPr>
            </w:pPr>
            <w:r>
              <w:t>Signatory to grant award</w:t>
            </w:r>
          </w:p>
          <w:p w14:paraId="6CEA9E22" w14:textId="77777777" w:rsidR="00216600" w:rsidRDefault="00216600" w:rsidP="00216600">
            <w:pPr>
              <w:pStyle w:val="ListParagraph"/>
              <w:numPr>
                <w:ilvl w:val="0"/>
                <w:numId w:val="14"/>
              </w:numPr>
            </w:pPr>
            <w:r>
              <w:t>Chief point of oversight for project</w:t>
            </w:r>
          </w:p>
        </w:tc>
        <w:tc>
          <w:tcPr>
            <w:tcW w:w="6125" w:type="dxa"/>
          </w:tcPr>
          <w:p w14:paraId="7FC15FAE" w14:textId="77777777" w:rsidR="00216600" w:rsidRDefault="00216600" w:rsidP="00216600">
            <w:r w:rsidRPr="00774AD8">
              <w:rPr>
                <w:b/>
              </w:rPr>
              <w:t>Nonprofits</w:t>
            </w:r>
            <w:r>
              <w:t>: Board Chair</w:t>
            </w:r>
          </w:p>
          <w:p w14:paraId="3880949E" w14:textId="77777777" w:rsidR="00216600" w:rsidRDefault="00216600" w:rsidP="00216600">
            <w:r>
              <w:t>** Must not be an employee of the agency</w:t>
            </w:r>
          </w:p>
          <w:p w14:paraId="37D2355C" w14:textId="77777777" w:rsidR="00216600" w:rsidRDefault="00216600" w:rsidP="00216600">
            <w:r w:rsidRPr="00774AD8">
              <w:rPr>
                <w:b/>
              </w:rPr>
              <w:t>State Government</w:t>
            </w:r>
            <w:r>
              <w:t>: Division Secretary</w:t>
            </w:r>
          </w:p>
          <w:p w14:paraId="1655DA99" w14:textId="77777777" w:rsidR="00216600" w:rsidRDefault="00216600" w:rsidP="00216600">
            <w:r w:rsidRPr="00774AD8">
              <w:rPr>
                <w:b/>
              </w:rPr>
              <w:t>Local Government</w:t>
            </w:r>
            <w:r>
              <w:t>: County Manager</w:t>
            </w:r>
          </w:p>
          <w:p w14:paraId="76AFE0B1" w14:textId="77777777" w:rsidR="00216600" w:rsidRDefault="00216600" w:rsidP="00216600">
            <w:r w:rsidRPr="00774AD8">
              <w:rPr>
                <w:b/>
              </w:rPr>
              <w:t>Law Enforcement Agencies</w:t>
            </w:r>
            <w:r>
              <w:t>: County or City Manager</w:t>
            </w:r>
          </w:p>
        </w:tc>
      </w:tr>
      <w:tr w:rsidR="00216600" w14:paraId="4EAAE091" w14:textId="77777777" w:rsidTr="00216600">
        <w:tc>
          <w:tcPr>
            <w:tcW w:w="3775" w:type="dxa"/>
          </w:tcPr>
          <w:p w14:paraId="7DF39EC0" w14:textId="77777777" w:rsidR="00216600" w:rsidRPr="00774AD8" w:rsidRDefault="00216600" w:rsidP="00216600">
            <w:pPr>
              <w:rPr>
                <w:b/>
              </w:rPr>
            </w:pPr>
            <w:r w:rsidRPr="00774AD8">
              <w:rPr>
                <w:b/>
              </w:rPr>
              <w:t>Financial Officer (FO)</w:t>
            </w:r>
          </w:p>
          <w:p w14:paraId="061E17CD" w14:textId="77777777" w:rsidR="00216600" w:rsidRDefault="00216600" w:rsidP="00216600">
            <w:pPr>
              <w:pStyle w:val="ListParagraph"/>
              <w:numPr>
                <w:ilvl w:val="0"/>
                <w:numId w:val="15"/>
              </w:numPr>
            </w:pPr>
            <w:r>
              <w:t>Provides financial oversight to project</w:t>
            </w:r>
          </w:p>
          <w:p w14:paraId="4B83C440" w14:textId="77777777" w:rsidR="00216600" w:rsidRDefault="00216600" w:rsidP="00216600">
            <w:pPr>
              <w:pStyle w:val="ListParagraph"/>
              <w:numPr>
                <w:ilvl w:val="0"/>
                <w:numId w:val="15"/>
              </w:numPr>
            </w:pPr>
            <w:r>
              <w:t xml:space="preserve">Ensures compliance with both agency and Federal financial policies and procedures </w:t>
            </w:r>
          </w:p>
        </w:tc>
        <w:tc>
          <w:tcPr>
            <w:tcW w:w="6125" w:type="dxa"/>
          </w:tcPr>
          <w:p w14:paraId="190CAE9C" w14:textId="77777777" w:rsidR="00216600" w:rsidRPr="00495058" w:rsidRDefault="00216600" w:rsidP="00216600">
            <w:r w:rsidRPr="00495058">
              <w:rPr>
                <w:b/>
              </w:rPr>
              <w:t>Nonprofits</w:t>
            </w:r>
            <w:r w:rsidRPr="00495058">
              <w:t>: Board Treasurer</w:t>
            </w:r>
          </w:p>
          <w:p w14:paraId="1693449B" w14:textId="77777777" w:rsidR="00216600" w:rsidRPr="00495058" w:rsidRDefault="00216600" w:rsidP="00216600">
            <w:r w:rsidRPr="00495058">
              <w:t>** Must not be an employee of the agency</w:t>
            </w:r>
          </w:p>
          <w:p w14:paraId="2ABBAF0C" w14:textId="77777777" w:rsidR="00216600" w:rsidRPr="00495058" w:rsidRDefault="00216600" w:rsidP="00216600">
            <w:r w:rsidRPr="00495058">
              <w:rPr>
                <w:b/>
              </w:rPr>
              <w:t>State Government</w:t>
            </w:r>
            <w:r w:rsidRPr="00495058">
              <w:t xml:space="preserve">: Chief Financial Officer or Division Finance Officer </w:t>
            </w:r>
          </w:p>
          <w:p w14:paraId="7D3736CC" w14:textId="77777777" w:rsidR="00216600" w:rsidRPr="00495058" w:rsidRDefault="00216600" w:rsidP="00216600">
            <w:r w:rsidRPr="00495058">
              <w:rPr>
                <w:b/>
              </w:rPr>
              <w:t>Local Government</w:t>
            </w:r>
            <w:r w:rsidRPr="00495058">
              <w:t xml:space="preserve">: Finance Director </w:t>
            </w:r>
          </w:p>
          <w:p w14:paraId="4A3E2F56" w14:textId="77777777" w:rsidR="00216600" w:rsidRPr="00495058" w:rsidRDefault="00216600" w:rsidP="00216600">
            <w:r w:rsidRPr="00495058">
              <w:rPr>
                <w:b/>
              </w:rPr>
              <w:t>Law Enforcement Agencies</w:t>
            </w:r>
            <w:r w:rsidRPr="00495058">
              <w:t>:  Agency Finance Director</w:t>
            </w:r>
          </w:p>
        </w:tc>
      </w:tr>
      <w:tr w:rsidR="00216600" w14:paraId="019D1F99" w14:textId="77777777" w:rsidTr="00216600">
        <w:tc>
          <w:tcPr>
            <w:tcW w:w="3775" w:type="dxa"/>
          </w:tcPr>
          <w:p w14:paraId="0C75EADA" w14:textId="77777777" w:rsidR="00216600" w:rsidRPr="00774AD8" w:rsidRDefault="00216600" w:rsidP="00216600">
            <w:pPr>
              <w:rPr>
                <w:b/>
              </w:rPr>
            </w:pPr>
            <w:r w:rsidRPr="00774AD8">
              <w:rPr>
                <w:b/>
              </w:rPr>
              <w:t>Project Director (PD)</w:t>
            </w:r>
          </w:p>
          <w:p w14:paraId="22BF6E4F" w14:textId="77777777" w:rsidR="00216600" w:rsidRDefault="00216600" w:rsidP="00216600">
            <w:pPr>
              <w:pStyle w:val="ListParagraph"/>
              <w:numPr>
                <w:ilvl w:val="0"/>
                <w:numId w:val="15"/>
              </w:numPr>
            </w:pPr>
            <w:r>
              <w:t>Signatory to grant award</w:t>
            </w:r>
          </w:p>
          <w:p w14:paraId="24F7A09F" w14:textId="77777777" w:rsidR="00216600" w:rsidRDefault="00216600" w:rsidP="00216600">
            <w:pPr>
              <w:pStyle w:val="ListParagraph"/>
              <w:numPr>
                <w:ilvl w:val="0"/>
                <w:numId w:val="15"/>
              </w:numPr>
            </w:pPr>
            <w:r>
              <w:lastRenderedPageBreak/>
              <w:t>Responsible for execution of project</w:t>
            </w:r>
          </w:p>
          <w:p w14:paraId="4AD9B805" w14:textId="77777777" w:rsidR="00216600" w:rsidRDefault="00216600" w:rsidP="00216600">
            <w:pPr>
              <w:pStyle w:val="ListParagraph"/>
              <w:numPr>
                <w:ilvl w:val="0"/>
                <w:numId w:val="15"/>
              </w:numPr>
            </w:pPr>
            <w:r>
              <w:t>Primary point of contact with GCC</w:t>
            </w:r>
          </w:p>
        </w:tc>
        <w:tc>
          <w:tcPr>
            <w:tcW w:w="6125" w:type="dxa"/>
          </w:tcPr>
          <w:p w14:paraId="1D7583DE" w14:textId="77777777" w:rsidR="00216600" w:rsidRDefault="00216600" w:rsidP="00216600">
            <w:r w:rsidRPr="00774AD8">
              <w:rPr>
                <w:b/>
              </w:rPr>
              <w:lastRenderedPageBreak/>
              <w:t>Nonprofits</w:t>
            </w:r>
            <w:r>
              <w:t>: Executive Director or appointed project staff responsible for overseeing the work of the project</w:t>
            </w:r>
          </w:p>
          <w:p w14:paraId="40508C47" w14:textId="77777777" w:rsidR="00216600" w:rsidRDefault="00216600" w:rsidP="00216600">
            <w:r w:rsidRPr="00774AD8">
              <w:rPr>
                <w:b/>
              </w:rPr>
              <w:lastRenderedPageBreak/>
              <w:t>State Government</w:t>
            </w:r>
            <w:r>
              <w:t>: Designee responsible for overseeing the work of the project</w:t>
            </w:r>
          </w:p>
          <w:p w14:paraId="6D225535" w14:textId="77777777" w:rsidR="00216600" w:rsidRDefault="00216600" w:rsidP="00216600">
            <w:r w:rsidRPr="00774AD8">
              <w:rPr>
                <w:b/>
              </w:rPr>
              <w:t>Local Government</w:t>
            </w:r>
            <w:r>
              <w:t>: Designee project staff responsible for overseeing the work of the project</w:t>
            </w:r>
          </w:p>
          <w:p w14:paraId="592BD527" w14:textId="77777777" w:rsidR="00216600" w:rsidRDefault="00216600" w:rsidP="00216600">
            <w:r w:rsidRPr="00774AD8">
              <w:rPr>
                <w:b/>
              </w:rPr>
              <w:t>Law Enforcement Agencies</w:t>
            </w:r>
            <w:r>
              <w:t>:  Designee project staff responsible for overseeing the work of the project</w:t>
            </w:r>
          </w:p>
        </w:tc>
      </w:tr>
      <w:tr w:rsidR="00216600" w14:paraId="1DD5148E" w14:textId="77777777" w:rsidTr="00216600">
        <w:tc>
          <w:tcPr>
            <w:tcW w:w="3775" w:type="dxa"/>
          </w:tcPr>
          <w:p w14:paraId="03D1EFAD" w14:textId="77777777" w:rsidR="00216600" w:rsidRPr="00774AD8" w:rsidRDefault="00216600" w:rsidP="00216600">
            <w:pPr>
              <w:rPr>
                <w:b/>
              </w:rPr>
            </w:pPr>
            <w:r w:rsidRPr="00774AD8">
              <w:rPr>
                <w:b/>
              </w:rPr>
              <w:lastRenderedPageBreak/>
              <w:t>Organization</w:t>
            </w:r>
            <w:r>
              <w:rPr>
                <w:b/>
              </w:rPr>
              <w:t>al</w:t>
            </w:r>
            <w:r w:rsidRPr="00774AD8">
              <w:rPr>
                <w:b/>
              </w:rPr>
              <w:t xml:space="preserve"> Administrator</w:t>
            </w:r>
          </w:p>
          <w:p w14:paraId="27E47114" w14:textId="77777777" w:rsidR="00216600" w:rsidRDefault="00216600" w:rsidP="00216600">
            <w:pPr>
              <w:pStyle w:val="ListParagraph"/>
              <w:numPr>
                <w:ilvl w:val="0"/>
                <w:numId w:val="15"/>
              </w:numPr>
            </w:pPr>
            <w:r>
              <w:t>Approves all requests for organization roles (AO, FO, PD)</w:t>
            </w:r>
          </w:p>
          <w:p w14:paraId="01D2D834" w14:textId="77777777" w:rsidR="00216600" w:rsidRDefault="00216600" w:rsidP="00216600">
            <w:pPr>
              <w:pStyle w:val="ListParagraph"/>
              <w:numPr>
                <w:ilvl w:val="0"/>
                <w:numId w:val="15"/>
              </w:numPr>
            </w:pPr>
            <w:r>
              <w:t>Approves/denies access to project applications and open projects</w:t>
            </w:r>
          </w:p>
          <w:p w14:paraId="10BD0578" w14:textId="77777777" w:rsidR="00216600" w:rsidRDefault="00216600" w:rsidP="00216600">
            <w:pPr>
              <w:pStyle w:val="ListParagraph"/>
              <w:numPr>
                <w:ilvl w:val="0"/>
                <w:numId w:val="15"/>
              </w:numPr>
            </w:pPr>
            <w:r>
              <w:t>Deactivates access/roles</w:t>
            </w:r>
          </w:p>
          <w:p w14:paraId="3E877BC4" w14:textId="77777777" w:rsidR="00216600" w:rsidRDefault="00216600" w:rsidP="00216600">
            <w:pPr>
              <w:pStyle w:val="ListParagraph"/>
              <w:numPr>
                <w:ilvl w:val="0"/>
                <w:numId w:val="15"/>
              </w:numPr>
            </w:pPr>
            <w:r>
              <w:t>Submits SAM updates to GCC via GEMS</w:t>
            </w:r>
          </w:p>
        </w:tc>
        <w:tc>
          <w:tcPr>
            <w:tcW w:w="6125" w:type="dxa"/>
          </w:tcPr>
          <w:p w14:paraId="6EA3D2A6" w14:textId="77777777" w:rsidR="00216600" w:rsidRDefault="00216600" w:rsidP="00216600">
            <w:r>
              <w:t>Other agency personnel, such as an internal Grant Manager or supervisor of project activities</w:t>
            </w:r>
          </w:p>
        </w:tc>
      </w:tr>
    </w:tbl>
    <w:p w14:paraId="59043841" w14:textId="77777777" w:rsidR="00216600" w:rsidRPr="008B0E59" w:rsidRDefault="00216600" w:rsidP="007973BA"/>
    <w:p w14:paraId="22019F73" w14:textId="358C02C4" w:rsidR="007973BA" w:rsidRPr="003775D7" w:rsidRDefault="007973BA" w:rsidP="00D2403A">
      <w:pPr>
        <w:pStyle w:val="Heading2"/>
      </w:pPr>
      <w:bookmarkStart w:id="4" w:name="_Toc58588067"/>
      <w:r w:rsidRPr="003775D7">
        <w:t>Does our Board Chair have to be listed as the Authorizing Official in our project?</w:t>
      </w:r>
      <w:bookmarkEnd w:id="4"/>
    </w:p>
    <w:p w14:paraId="334EC91B" w14:textId="637F3987" w:rsidR="003775D7" w:rsidRPr="008B0E59" w:rsidRDefault="003775D7" w:rsidP="007973BA">
      <w:r>
        <w:t>The Board Chair must be listed as the Authorizing Official for all non-profit/non-governmental organizations.</w:t>
      </w:r>
      <w:r w:rsidR="000C327B">
        <w:t xml:space="preserve">  In certain cases (e.g., nationally or internationally</w:t>
      </w:r>
      <w:r w:rsidR="0025369D">
        <w:t xml:space="preserve"> </w:t>
      </w:r>
      <w:r w:rsidR="000C327B">
        <w:t>based organizations), a North Carolina-based executive may fill this position, but GCC prior approval is required for this change.</w:t>
      </w:r>
    </w:p>
    <w:p w14:paraId="7085F1D7" w14:textId="55258895" w:rsidR="007973BA" w:rsidRPr="003775D7" w:rsidRDefault="007973BA" w:rsidP="00D2403A">
      <w:pPr>
        <w:pStyle w:val="Heading2"/>
      </w:pPr>
      <w:bookmarkStart w:id="5" w:name="_Toc58588068"/>
      <w:r w:rsidRPr="003775D7">
        <w:t xml:space="preserve">How do we </w:t>
      </w:r>
      <w:r w:rsidR="00221357">
        <w:t>set up</w:t>
      </w:r>
      <w:r w:rsidRPr="003775D7">
        <w:t xml:space="preserve"> the </w:t>
      </w:r>
      <w:r w:rsidR="003775D7">
        <w:t>organizational roles</w:t>
      </w:r>
      <w:r w:rsidRPr="003775D7">
        <w:t xml:space="preserve"> (Authorizing Official, Financial Officer, Project Director) in our project</w:t>
      </w:r>
      <w:r w:rsidR="003775D7">
        <w:t xml:space="preserve"> application</w:t>
      </w:r>
      <w:r w:rsidRPr="003775D7">
        <w:t>?</w:t>
      </w:r>
      <w:bookmarkEnd w:id="5"/>
    </w:p>
    <w:p w14:paraId="5D9BA78F" w14:textId="77777777" w:rsidR="009E1091" w:rsidRDefault="003775D7" w:rsidP="007973BA">
      <w:r w:rsidRPr="003775D7">
        <w:t>The request for organizational roles must come from the NCID of the individual requesting the role</w:t>
      </w:r>
      <w:proofErr w:type="gramStart"/>
      <w:r w:rsidRPr="003775D7">
        <w:t xml:space="preserve">. </w:t>
      </w:r>
      <w:proofErr w:type="gramEnd"/>
      <w:r w:rsidRPr="003775D7">
        <w:t>The project director or editor cannot login under his/her NCID and make a request on behalf of another user.</w:t>
      </w:r>
      <w:r w:rsidR="009E1091">
        <w:t xml:space="preserve">  New contacts can request an NCID at </w:t>
      </w:r>
      <w:hyperlink r:id="rId14" w:history="1">
        <w:r w:rsidR="009E1091" w:rsidRPr="009153D6">
          <w:rPr>
            <w:rStyle w:val="Hyperlink"/>
          </w:rPr>
          <w:t>https://ncid.nc.gov</w:t>
        </w:r>
      </w:hyperlink>
      <w:proofErr w:type="gramStart"/>
      <w:r w:rsidR="009E1091">
        <w:t>.</w:t>
      </w:r>
      <w:r w:rsidR="009E1091" w:rsidRPr="009E1091">
        <w:t xml:space="preserve"> </w:t>
      </w:r>
      <w:proofErr w:type="gramEnd"/>
      <w:r w:rsidR="009E1091" w:rsidRPr="009E1091">
        <w:t xml:space="preserve">For any technical issues with the NCID, </w:t>
      </w:r>
      <w:r w:rsidR="006E47D3">
        <w:t>contact</w:t>
      </w:r>
      <w:r w:rsidR="009E1091" w:rsidRPr="009E1091">
        <w:t xml:space="preserve"> the ITS Service Desk (24 hours) at 919-754-6000 or toll free at 1-800-722-3946.</w:t>
      </w:r>
    </w:p>
    <w:p w14:paraId="37780CDD" w14:textId="77777777" w:rsidR="00666B82" w:rsidRDefault="00666B82" w:rsidP="00666B82">
      <w:r>
        <w:t>Once completed:</w:t>
      </w:r>
    </w:p>
    <w:p w14:paraId="1392540D" w14:textId="77777777" w:rsidR="006E47D3" w:rsidRDefault="00666B82" w:rsidP="006E47D3">
      <w:pPr>
        <w:pStyle w:val="ListParagraph"/>
        <w:numPr>
          <w:ilvl w:val="0"/>
          <w:numId w:val="8"/>
        </w:numPr>
      </w:pPr>
      <w:r>
        <w:t>L</w:t>
      </w:r>
      <w:r w:rsidR="006E47D3">
        <w:t xml:space="preserve">og into GEMS at </w:t>
      </w:r>
      <w:hyperlink r:id="rId15" w:history="1">
        <w:r w:rsidR="006E47D3" w:rsidRPr="009153D6">
          <w:rPr>
            <w:rStyle w:val="Hyperlink"/>
          </w:rPr>
          <w:t>http://gems.ncdps.gov</w:t>
        </w:r>
      </w:hyperlink>
      <w:r w:rsidR="006E47D3">
        <w:t xml:space="preserve"> using the NCID and password provided. </w:t>
      </w:r>
    </w:p>
    <w:p w14:paraId="6FAF416C" w14:textId="77777777" w:rsidR="006E47D3" w:rsidRDefault="00666B82" w:rsidP="006E47D3">
      <w:pPr>
        <w:pStyle w:val="ListParagraph"/>
        <w:numPr>
          <w:ilvl w:val="0"/>
          <w:numId w:val="8"/>
        </w:numPr>
      </w:pPr>
      <w:r>
        <w:t>The</w:t>
      </w:r>
      <w:r w:rsidR="006E47D3">
        <w:t xml:space="preserve"> individual </w:t>
      </w:r>
      <w:r>
        <w:t xml:space="preserve">will set up a </w:t>
      </w:r>
      <w:r w:rsidR="006E47D3">
        <w:t>profile</w:t>
      </w:r>
      <w:r>
        <w:t xml:space="preserve"> in GEMS</w:t>
      </w:r>
      <w:r w:rsidR="006E47D3">
        <w:t xml:space="preserve"> and request an organizational or project role under the “My Profile” tab.  Information requested includes name, job title, and contact information.  </w:t>
      </w:r>
    </w:p>
    <w:p w14:paraId="316DD01C" w14:textId="77777777" w:rsidR="006E47D3" w:rsidRDefault="006E47D3" w:rsidP="006E47D3">
      <w:pPr>
        <w:pStyle w:val="ListParagraph"/>
        <w:numPr>
          <w:ilvl w:val="0"/>
          <w:numId w:val="8"/>
        </w:numPr>
      </w:pPr>
      <w:r>
        <w:t>Once project access is approved by</w:t>
      </w:r>
      <w:r w:rsidR="00666B82">
        <w:t xml:space="preserve"> the </w:t>
      </w:r>
      <w:r w:rsidR="002E50A1">
        <w:t xml:space="preserve">GEMS </w:t>
      </w:r>
      <w:r w:rsidR="00666B82">
        <w:t>Organization Administrator, the individual should select “</w:t>
      </w:r>
      <w:r>
        <w:t>Request Organization Roles”</w:t>
      </w:r>
      <w:r w:rsidR="00666B82">
        <w:t>.  Once there,</w:t>
      </w:r>
      <w:r>
        <w:t xml:space="preserve"> </w:t>
      </w:r>
      <w:r w:rsidR="00666B82">
        <w:t>the individual may select one or more of the following roles:</w:t>
      </w:r>
      <w:r>
        <w:t xml:space="preserve"> “Organization Administrator”, “Financial Officer”, </w:t>
      </w:r>
      <w:r w:rsidR="00666B82">
        <w:t>and/</w:t>
      </w:r>
      <w:r>
        <w:t xml:space="preserve">or “Authorizing Official.” A </w:t>
      </w:r>
      <w:r w:rsidR="00666B82">
        <w:t>written justification for needing this role is</w:t>
      </w:r>
      <w:r>
        <w:t xml:space="preserve"> required in t</w:t>
      </w:r>
      <w:r w:rsidR="00666B82">
        <w:t>he narrative box.</w:t>
      </w:r>
    </w:p>
    <w:p w14:paraId="5CD59005" w14:textId="77777777" w:rsidR="006E47D3" w:rsidRPr="008B0E59" w:rsidRDefault="006E47D3" w:rsidP="006E47D3">
      <w:pPr>
        <w:pStyle w:val="ListParagraph"/>
        <w:numPr>
          <w:ilvl w:val="0"/>
          <w:numId w:val="8"/>
        </w:numPr>
      </w:pPr>
      <w:r>
        <w:t xml:space="preserve">Finally, </w:t>
      </w:r>
      <w:r w:rsidR="00666B82">
        <w:t>by clicking</w:t>
      </w:r>
      <w:r>
        <w:t xml:space="preserve"> “Request Project Access”</w:t>
      </w:r>
      <w:r w:rsidR="00666B82">
        <w:t>, the individual will select a project from the drop-down list, write a justification, and click submit</w:t>
      </w:r>
      <w:proofErr w:type="gramStart"/>
      <w:r w:rsidR="00666B82">
        <w:t xml:space="preserve">. </w:t>
      </w:r>
      <w:proofErr w:type="gramEnd"/>
      <w:r w:rsidR="00666B82">
        <w:t>Once approved by the GEMS Organization Administrator, the individual will be able to edit the project application, create or edit reimbursements, budget adjustments, reports, etc.</w:t>
      </w:r>
    </w:p>
    <w:p w14:paraId="08030575" w14:textId="50D57AEA" w:rsidR="007973BA" w:rsidRPr="00A60AA6" w:rsidRDefault="007973BA" w:rsidP="00847C11">
      <w:pPr>
        <w:pStyle w:val="Heading1"/>
      </w:pPr>
      <w:bookmarkStart w:id="6" w:name="_Toc58588069"/>
      <w:r w:rsidRPr="00A60AA6">
        <w:t>Financial and Budgetary Q</w:t>
      </w:r>
      <w:r w:rsidR="008B0E59" w:rsidRPr="00A60AA6">
        <w:t>uestions</w:t>
      </w:r>
      <w:bookmarkEnd w:id="6"/>
    </w:p>
    <w:p w14:paraId="76F513B8" w14:textId="3F02F3EA" w:rsidR="007973BA" w:rsidRPr="00C447C1" w:rsidRDefault="007973BA" w:rsidP="00D2403A">
      <w:pPr>
        <w:pStyle w:val="Heading2"/>
      </w:pPr>
      <w:bookmarkStart w:id="7" w:name="_Toc58588070"/>
      <w:r w:rsidRPr="00C447C1">
        <w:t>Can indirect cost-related expenses be used as match?</w:t>
      </w:r>
      <w:bookmarkEnd w:id="7"/>
    </w:p>
    <w:p w14:paraId="33027F38" w14:textId="22CECEFB" w:rsidR="00C447C1" w:rsidRDefault="00C447C1" w:rsidP="00C447C1">
      <w:pPr>
        <w:pStyle w:val="Default"/>
        <w:rPr>
          <w:sz w:val="22"/>
          <w:szCs w:val="22"/>
        </w:rPr>
      </w:pPr>
      <w:r>
        <w:rPr>
          <w:sz w:val="22"/>
          <w:szCs w:val="22"/>
        </w:rPr>
        <w:t>A</w:t>
      </w:r>
      <w:r w:rsidRPr="00C447C1">
        <w:rPr>
          <w:sz w:val="22"/>
          <w:szCs w:val="22"/>
        </w:rPr>
        <w:t xml:space="preserve"> subrecipient may count only </w:t>
      </w:r>
      <w:r w:rsidRPr="00C447C1">
        <w:rPr>
          <w:i/>
          <w:iCs/>
          <w:sz w:val="22"/>
          <w:szCs w:val="22"/>
        </w:rPr>
        <w:t xml:space="preserve">unrecovered </w:t>
      </w:r>
      <w:r w:rsidRPr="00C447C1">
        <w:rPr>
          <w:sz w:val="22"/>
          <w:szCs w:val="22"/>
        </w:rPr>
        <w:t xml:space="preserve">indirect costs as project </w:t>
      </w:r>
      <w:r w:rsidR="008D24A7" w:rsidRPr="00C447C1">
        <w:rPr>
          <w:sz w:val="22"/>
          <w:szCs w:val="22"/>
        </w:rPr>
        <w:t>match and</w:t>
      </w:r>
      <w:r w:rsidRPr="00C447C1">
        <w:rPr>
          <w:sz w:val="22"/>
          <w:szCs w:val="22"/>
        </w:rPr>
        <w:t xml:space="preserve"> may do so </w:t>
      </w:r>
      <w:r w:rsidRPr="00D27C7F">
        <w:rPr>
          <w:sz w:val="22"/>
          <w:szCs w:val="22"/>
          <w:u w:val="single"/>
        </w:rPr>
        <w:t>only with the approval of the</w:t>
      </w:r>
      <w:r w:rsidR="007E27C4">
        <w:rPr>
          <w:sz w:val="22"/>
          <w:szCs w:val="22"/>
          <w:u w:val="single"/>
        </w:rPr>
        <w:t xml:space="preserve"> Governor’s Crime Commission.</w:t>
      </w:r>
      <w:r w:rsidRPr="00C447C1">
        <w:rPr>
          <w:sz w:val="22"/>
          <w:szCs w:val="22"/>
        </w:rPr>
        <w:t xml:space="preserve"> </w:t>
      </w:r>
    </w:p>
    <w:p w14:paraId="01D7471D" w14:textId="77777777" w:rsidR="00C447C1" w:rsidRPr="00C447C1" w:rsidRDefault="00C447C1" w:rsidP="00C447C1">
      <w:pPr>
        <w:pStyle w:val="Default"/>
        <w:rPr>
          <w:sz w:val="22"/>
          <w:szCs w:val="22"/>
        </w:rPr>
      </w:pPr>
    </w:p>
    <w:p w14:paraId="3ACFC6C1" w14:textId="0BC018AC" w:rsidR="00C447C1" w:rsidRDefault="00C447C1" w:rsidP="00C447C1">
      <w:pPr>
        <w:pStyle w:val="Default"/>
        <w:rPr>
          <w:sz w:val="22"/>
          <w:szCs w:val="22"/>
        </w:rPr>
      </w:pPr>
      <w:r w:rsidRPr="00C447C1">
        <w:rPr>
          <w:sz w:val="22"/>
          <w:szCs w:val="22"/>
        </w:rPr>
        <w:t>Unrecovered indirect costs are the difference between the amount of</w:t>
      </w:r>
      <w:r w:rsidR="00402422">
        <w:rPr>
          <w:sz w:val="22"/>
          <w:szCs w:val="22"/>
        </w:rPr>
        <w:t xml:space="preserve"> the</w:t>
      </w:r>
      <w:r w:rsidRPr="00C447C1">
        <w:rPr>
          <w:sz w:val="22"/>
          <w:szCs w:val="22"/>
        </w:rPr>
        <w:t xml:space="preserve"> </w:t>
      </w:r>
      <w:r w:rsidR="00402422">
        <w:rPr>
          <w:sz w:val="22"/>
          <w:szCs w:val="22"/>
        </w:rPr>
        <w:t xml:space="preserve">federally negotiated </w:t>
      </w:r>
      <w:r w:rsidRPr="00C447C1">
        <w:rPr>
          <w:sz w:val="22"/>
          <w:szCs w:val="22"/>
        </w:rPr>
        <w:t>indirect cost</w:t>
      </w:r>
      <w:r w:rsidR="00402422">
        <w:rPr>
          <w:sz w:val="22"/>
          <w:szCs w:val="22"/>
        </w:rPr>
        <w:t xml:space="preserve"> rate</w:t>
      </w:r>
      <w:r w:rsidRPr="00C447C1">
        <w:rPr>
          <w:sz w:val="22"/>
          <w:szCs w:val="22"/>
        </w:rPr>
        <w:t xml:space="preserve"> charged to an award and the amount that </w:t>
      </w:r>
      <w:r w:rsidRPr="00C447C1">
        <w:rPr>
          <w:i/>
          <w:iCs/>
          <w:sz w:val="22"/>
          <w:szCs w:val="22"/>
        </w:rPr>
        <w:t xml:space="preserve">could </w:t>
      </w:r>
      <w:r w:rsidRPr="00C447C1">
        <w:rPr>
          <w:sz w:val="22"/>
          <w:szCs w:val="22"/>
        </w:rPr>
        <w:t>have been charged to the award under the subrecipient’s</w:t>
      </w:r>
      <w:r w:rsidR="00402422">
        <w:rPr>
          <w:sz w:val="22"/>
          <w:szCs w:val="22"/>
        </w:rPr>
        <w:t xml:space="preserve"> approved </w:t>
      </w:r>
      <w:r w:rsidRPr="00C447C1">
        <w:rPr>
          <w:sz w:val="22"/>
          <w:szCs w:val="22"/>
        </w:rPr>
        <w:t>indirect cost rate</w:t>
      </w:r>
      <w:r w:rsidR="007E27C4">
        <w:rPr>
          <w:sz w:val="22"/>
          <w:szCs w:val="22"/>
        </w:rPr>
        <w:t xml:space="preserve"> agreement</w:t>
      </w:r>
      <w:r w:rsidRPr="00C447C1">
        <w:rPr>
          <w:sz w:val="22"/>
          <w:szCs w:val="22"/>
        </w:rPr>
        <w:t xml:space="preserve">. </w:t>
      </w:r>
      <w:r w:rsidR="00402422">
        <w:rPr>
          <w:sz w:val="22"/>
          <w:szCs w:val="22"/>
        </w:rPr>
        <w:t xml:space="preserve"> This does not include the De Minimis rate.</w:t>
      </w:r>
    </w:p>
    <w:p w14:paraId="50089BD4" w14:textId="77777777" w:rsidR="00C447C1" w:rsidRPr="00C447C1" w:rsidRDefault="00C447C1" w:rsidP="00C447C1">
      <w:pPr>
        <w:pStyle w:val="Default"/>
        <w:rPr>
          <w:sz w:val="22"/>
          <w:szCs w:val="22"/>
        </w:rPr>
      </w:pPr>
    </w:p>
    <w:p w14:paraId="754EE9F5" w14:textId="126855A7" w:rsidR="007973BA" w:rsidRPr="00F15F14" w:rsidRDefault="007973BA" w:rsidP="00D2403A">
      <w:pPr>
        <w:pStyle w:val="Heading2"/>
      </w:pPr>
      <w:bookmarkStart w:id="8" w:name="_Toc58588071"/>
      <w:r w:rsidRPr="00F15F14">
        <w:t>I am using the De Minimis Indirect Cost rate</w:t>
      </w:r>
      <w:proofErr w:type="gramStart"/>
      <w:r w:rsidRPr="00F15F14">
        <w:t xml:space="preserve">. </w:t>
      </w:r>
      <w:proofErr w:type="gramEnd"/>
      <w:r w:rsidRPr="00F15F14">
        <w:t>Does this have to be used in my other projects?</w:t>
      </w:r>
      <w:bookmarkEnd w:id="8"/>
    </w:p>
    <w:p w14:paraId="6F7242F4" w14:textId="77777777" w:rsidR="00F15F14" w:rsidRDefault="00F15F14" w:rsidP="00F15F14">
      <w:pPr>
        <w:rPr>
          <w:rFonts w:cstheme="minorHAnsi"/>
          <w:szCs w:val="21"/>
        </w:rPr>
      </w:pPr>
      <w:r w:rsidRPr="00F15F14">
        <w:rPr>
          <w:rFonts w:cstheme="minorHAnsi"/>
          <w:szCs w:val="21"/>
        </w:rPr>
        <w:t xml:space="preserve">Some subrecipients have the option of using a </w:t>
      </w:r>
      <w:r w:rsidRPr="00F15F14">
        <w:rPr>
          <w:rFonts w:cstheme="minorHAnsi"/>
          <w:i/>
          <w:iCs/>
          <w:szCs w:val="21"/>
        </w:rPr>
        <w:t>de minimis</w:t>
      </w:r>
      <w:r w:rsidRPr="00F15F14">
        <w:rPr>
          <w:rFonts w:cstheme="minorHAnsi"/>
          <w:szCs w:val="21"/>
        </w:rPr>
        <w:t xml:space="preserve"> indirect cost rate set by law.</w:t>
      </w:r>
      <w:r>
        <w:rPr>
          <w:rFonts w:cstheme="minorHAnsi"/>
          <w:szCs w:val="21"/>
        </w:rPr>
        <w:t xml:space="preserve">  </w:t>
      </w:r>
      <w:r w:rsidRPr="00F15F14">
        <w:rPr>
          <w:rFonts w:cstheme="minorHAnsi"/>
          <w:szCs w:val="21"/>
        </w:rPr>
        <w:t xml:space="preserve">The de minimis rate is 10% </w:t>
      </w:r>
      <w:r w:rsidR="009E016C">
        <w:rPr>
          <w:rFonts w:cstheme="minorHAnsi"/>
          <w:szCs w:val="21"/>
        </w:rPr>
        <w:t>of "modified total direct costs</w:t>
      </w:r>
      <w:r w:rsidRPr="00F15F14">
        <w:rPr>
          <w:rFonts w:cstheme="minorHAnsi"/>
          <w:szCs w:val="21"/>
        </w:rPr>
        <w:t>"</w:t>
      </w:r>
      <w:r w:rsidR="009E016C">
        <w:rPr>
          <w:rFonts w:cstheme="minorHAnsi"/>
          <w:szCs w:val="21"/>
        </w:rPr>
        <w:t xml:space="preserve"> (MTDC)</w:t>
      </w:r>
      <w:r w:rsidRPr="00F15F14">
        <w:rPr>
          <w:rFonts w:cstheme="minorHAnsi"/>
          <w:szCs w:val="21"/>
        </w:rPr>
        <w:t>.</w:t>
      </w:r>
    </w:p>
    <w:p w14:paraId="0D7F7AA9" w14:textId="77777777" w:rsidR="009E016C" w:rsidRDefault="009E016C" w:rsidP="009E016C">
      <w:pPr>
        <w:numPr>
          <w:ilvl w:val="0"/>
          <w:numId w:val="10"/>
        </w:numPr>
        <w:spacing w:after="0" w:line="240" w:lineRule="auto"/>
        <w:rPr>
          <w:rFonts w:eastAsia="Times New Roman"/>
        </w:rPr>
      </w:pPr>
      <w:r>
        <w:rPr>
          <w:rFonts w:eastAsia="Times New Roman"/>
        </w:rPr>
        <w:t xml:space="preserve">The MTDC base includes: salary and wages, fringe benefits, materials and supplies, services, travel, and the first $25,000 of each contract.  </w:t>
      </w:r>
    </w:p>
    <w:p w14:paraId="6E916E26" w14:textId="77777777" w:rsidR="009E016C" w:rsidRDefault="009E016C" w:rsidP="009E016C">
      <w:pPr>
        <w:numPr>
          <w:ilvl w:val="0"/>
          <w:numId w:val="10"/>
        </w:numPr>
        <w:spacing w:after="0" w:line="240" w:lineRule="auto"/>
        <w:rPr>
          <w:rFonts w:eastAsia="Times New Roman"/>
        </w:rPr>
      </w:pPr>
      <w:r>
        <w:rPr>
          <w:rFonts w:eastAsia="Times New Roman"/>
        </w:rPr>
        <w:t xml:space="preserve">Excluded from the MTDC calculation is: equipment, capital expenditures, charges for patient care, tuition remission, rental costs, scholarships, and the portion of any contracts in excess of $25,000. </w:t>
      </w:r>
    </w:p>
    <w:p w14:paraId="5C3B8FF4" w14:textId="381FE79D" w:rsidR="00F15F14" w:rsidRPr="00F15F14" w:rsidRDefault="00F15F14" w:rsidP="00F15F14">
      <w:pPr>
        <w:rPr>
          <w:rFonts w:cstheme="minorHAnsi"/>
          <w:szCs w:val="21"/>
        </w:rPr>
      </w:pPr>
      <w:r w:rsidRPr="00F15F14">
        <w:rPr>
          <w:rFonts w:cstheme="minorHAnsi"/>
          <w:szCs w:val="21"/>
        </w:rPr>
        <w:t xml:space="preserve">This </w:t>
      </w:r>
      <w:r w:rsidRPr="009E016C">
        <w:rPr>
          <w:rFonts w:cstheme="minorHAnsi"/>
          <w:i/>
          <w:szCs w:val="21"/>
        </w:rPr>
        <w:t>de minimis</w:t>
      </w:r>
      <w:r w:rsidRPr="00F15F14">
        <w:rPr>
          <w:rFonts w:cstheme="minorHAnsi"/>
          <w:szCs w:val="21"/>
        </w:rPr>
        <w:t xml:space="preserve"> rate is available without the need to negotiate with the cognizant federal agency for indirect costs. </w:t>
      </w:r>
      <w:r w:rsidR="00402422">
        <w:rPr>
          <w:rFonts w:cstheme="minorHAnsi"/>
          <w:szCs w:val="21"/>
        </w:rPr>
        <w:t xml:space="preserve"> T</w:t>
      </w:r>
      <w:r w:rsidRPr="00F15F14">
        <w:rPr>
          <w:rFonts w:cstheme="minorHAnsi"/>
          <w:szCs w:val="21"/>
        </w:rPr>
        <w:t xml:space="preserve">he </w:t>
      </w:r>
      <w:r w:rsidRPr="009E016C">
        <w:rPr>
          <w:rFonts w:cstheme="minorHAnsi"/>
          <w:i/>
          <w:szCs w:val="21"/>
        </w:rPr>
        <w:t>de minimis</w:t>
      </w:r>
      <w:r w:rsidRPr="00F15F14">
        <w:rPr>
          <w:rFonts w:cstheme="minorHAnsi"/>
          <w:szCs w:val="21"/>
        </w:rPr>
        <w:t xml:space="preserve"> rate is an option only for subrecipients that </w:t>
      </w:r>
      <w:r w:rsidR="00402422">
        <w:rPr>
          <w:rFonts w:cstheme="minorHAnsi"/>
          <w:szCs w:val="21"/>
        </w:rPr>
        <w:t xml:space="preserve">do not have </w:t>
      </w:r>
      <w:r w:rsidRPr="00F15F14">
        <w:rPr>
          <w:rFonts w:cstheme="minorHAnsi"/>
          <w:szCs w:val="21"/>
        </w:rPr>
        <w:t xml:space="preserve">an approved federally-negotiated indirect cost rate. </w:t>
      </w:r>
    </w:p>
    <w:p w14:paraId="740E700F" w14:textId="13F921CD" w:rsidR="00F15F14" w:rsidRPr="00F15F14" w:rsidRDefault="00F15F14" w:rsidP="00F15F14">
      <w:pPr>
        <w:rPr>
          <w:rFonts w:cstheme="minorHAnsi"/>
          <w:sz w:val="24"/>
        </w:rPr>
      </w:pPr>
      <w:r w:rsidRPr="00F15F14">
        <w:rPr>
          <w:rFonts w:cstheme="minorHAnsi"/>
          <w:szCs w:val="21"/>
        </w:rPr>
        <w:t xml:space="preserve">When the </w:t>
      </w:r>
      <w:r w:rsidRPr="009E016C">
        <w:rPr>
          <w:rFonts w:cstheme="minorHAnsi"/>
          <w:i/>
          <w:szCs w:val="21"/>
        </w:rPr>
        <w:t>de minimis</w:t>
      </w:r>
      <w:r w:rsidRPr="00F15F14">
        <w:rPr>
          <w:rFonts w:cstheme="minorHAnsi"/>
          <w:szCs w:val="21"/>
        </w:rPr>
        <w:t xml:space="preserve"> rate is used, costs must be consistently charged as either indirect or direct costs</w:t>
      </w:r>
      <w:proofErr w:type="gramStart"/>
      <w:r w:rsidRPr="00F15F14">
        <w:rPr>
          <w:rFonts w:cstheme="minorHAnsi"/>
          <w:szCs w:val="21"/>
        </w:rPr>
        <w:t xml:space="preserve">. </w:t>
      </w:r>
      <w:proofErr w:type="gramEnd"/>
      <w:r w:rsidRPr="00F15F14">
        <w:rPr>
          <w:rFonts w:cstheme="minorHAnsi"/>
          <w:szCs w:val="21"/>
        </w:rPr>
        <w:t>Double-charging is not permitted.</w:t>
      </w:r>
    </w:p>
    <w:p w14:paraId="68EDE948" w14:textId="77777777" w:rsidR="00F15F14" w:rsidRDefault="009E016C" w:rsidP="007973BA">
      <w:r>
        <w:t xml:space="preserve">If you elect to use </w:t>
      </w:r>
      <w:r w:rsidRPr="009E016C">
        <w:rPr>
          <w:i/>
        </w:rPr>
        <w:t>de m</w:t>
      </w:r>
      <w:r w:rsidR="00F15F14" w:rsidRPr="009E016C">
        <w:rPr>
          <w:i/>
        </w:rPr>
        <w:t>inimis</w:t>
      </w:r>
      <w:r w:rsidR="00F15F14">
        <w:t>, it must be ap</w:t>
      </w:r>
      <w:r>
        <w:t>plied consistently across all</w:t>
      </w:r>
      <w:r w:rsidR="00F15F14">
        <w:t xml:space="preserve"> your agency’s Federally funded projects until your agency receives a Federally Negotiated Indirect Cost Rate.  </w:t>
      </w:r>
    </w:p>
    <w:p w14:paraId="0A1B567C" w14:textId="77777777" w:rsidR="001E7405" w:rsidRDefault="009E016C" w:rsidP="007973BA">
      <w:r>
        <w:t xml:space="preserve">If you elect to use de minimis in your projects, you must submit and upload a certification to each of your project applications. </w:t>
      </w:r>
    </w:p>
    <w:p w14:paraId="55D19907" w14:textId="63095693" w:rsidR="009E016C" w:rsidRDefault="009E016C" w:rsidP="007973BA">
      <w:r>
        <w:t xml:space="preserve">The De Minimis Certification Form can be found: </w:t>
      </w:r>
      <w:hyperlink r:id="rId16" w:history="1">
        <w:r w:rsidR="001168C6" w:rsidRPr="003C5B15">
          <w:rPr>
            <w:rStyle w:val="Hyperlink"/>
          </w:rPr>
          <w:t>https://www.ncdps.gov/gccforms</w:t>
        </w:r>
      </w:hyperlink>
    </w:p>
    <w:p w14:paraId="64E89468" w14:textId="69C50FDB" w:rsidR="007973BA" w:rsidRPr="007E5BFC" w:rsidRDefault="007973BA" w:rsidP="00D2403A">
      <w:pPr>
        <w:pStyle w:val="Heading2"/>
      </w:pPr>
      <w:bookmarkStart w:id="9" w:name="_Toc58588072"/>
      <w:r w:rsidRPr="007E5BFC">
        <w:t>Can I submit reimbursement requests after my period of performance ends?</w:t>
      </w:r>
      <w:bookmarkEnd w:id="9"/>
    </w:p>
    <w:p w14:paraId="49924514" w14:textId="77777777" w:rsidR="007E5BFC" w:rsidRPr="008B0E59" w:rsidRDefault="007E5BFC" w:rsidP="007973BA">
      <w:r>
        <w:t>Yes</w:t>
      </w:r>
      <w:proofErr w:type="gramStart"/>
      <w:r>
        <w:t xml:space="preserve">. </w:t>
      </w:r>
      <w:proofErr w:type="gramEnd"/>
      <w:r>
        <w:t>You may submit reimbursement requests for expenses occurring during your period of performance up to 45 days after your project ends.</w:t>
      </w:r>
    </w:p>
    <w:p w14:paraId="0B70EE4E" w14:textId="18BA02A1" w:rsidR="007973BA" w:rsidRPr="006F6BD1" w:rsidRDefault="007973BA" w:rsidP="00D2403A">
      <w:pPr>
        <w:pStyle w:val="Heading2"/>
      </w:pPr>
      <w:bookmarkStart w:id="10" w:name="_Toc58588073"/>
      <w:r w:rsidRPr="006F6BD1">
        <w:t>Our program is in a shared office building with donated space</w:t>
      </w:r>
      <w:proofErr w:type="gramStart"/>
      <w:r w:rsidRPr="006F6BD1">
        <w:t xml:space="preserve">. </w:t>
      </w:r>
      <w:proofErr w:type="gramEnd"/>
      <w:r w:rsidRPr="006F6BD1">
        <w:t>What documentation is required for use of donated space as in-kind match?</w:t>
      </w:r>
      <w:bookmarkEnd w:id="10"/>
    </w:p>
    <w:p w14:paraId="0672D83E" w14:textId="2666A8BC" w:rsidR="001A3EEA" w:rsidRPr="008B0E59" w:rsidRDefault="00875935" w:rsidP="007973BA">
      <w:r w:rsidRPr="001C5966">
        <w:t xml:space="preserve">The Governor’s Crime Commission requires a </w:t>
      </w:r>
      <w:r w:rsidR="006F6BD1" w:rsidRPr="001C5966">
        <w:t xml:space="preserve">written </w:t>
      </w:r>
      <w:r w:rsidRPr="001C5966">
        <w:t>valuation of the space, as well as a floor</w:t>
      </w:r>
      <w:r w:rsidR="006F6BD1" w:rsidRPr="001C5966">
        <w:t xml:space="preserve"> plan detailing the space used as an upload to their attached documents</w:t>
      </w:r>
      <w:r w:rsidRPr="001C5966">
        <w:t xml:space="preserve">.  If there is a lease or rental agreement associated with this </w:t>
      </w:r>
      <w:r w:rsidR="006F6BD1" w:rsidRPr="001C5966">
        <w:t xml:space="preserve">entity donating this </w:t>
      </w:r>
      <w:r w:rsidRPr="001C5966">
        <w:t>space,</w:t>
      </w:r>
      <w:r w:rsidR="006F6BD1" w:rsidRPr="001C5966">
        <w:t xml:space="preserve"> it should also be attached as an upload to your grant application.</w:t>
      </w:r>
      <w:r>
        <w:t xml:space="preserve"> </w:t>
      </w:r>
    </w:p>
    <w:p w14:paraId="7EDE74F2" w14:textId="2FE5A878" w:rsidR="007973BA" w:rsidRPr="009F014E" w:rsidRDefault="007973BA" w:rsidP="00D2403A">
      <w:pPr>
        <w:pStyle w:val="Heading2"/>
      </w:pPr>
      <w:bookmarkStart w:id="11" w:name="_Toc58588074"/>
      <w:r w:rsidRPr="009F014E">
        <w:t>What may be used to meet the match requirement for my project?</w:t>
      </w:r>
      <w:bookmarkEnd w:id="11"/>
    </w:p>
    <w:p w14:paraId="3739717C" w14:textId="77777777" w:rsidR="008A0CBA" w:rsidRDefault="009F014E" w:rsidP="007973BA">
      <w:r w:rsidRPr="009F014E">
        <w:t>Match requirements are typically stated as a percentage of the total project costs for an award</w:t>
      </w:r>
      <w:proofErr w:type="gramStart"/>
      <w:r w:rsidRPr="009F014E">
        <w:t>.</w:t>
      </w:r>
      <w:r>
        <w:t xml:space="preserve"> </w:t>
      </w:r>
      <w:proofErr w:type="gramEnd"/>
      <w:r>
        <w:t>There are two kinds of match:</w:t>
      </w:r>
    </w:p>
    <w:p w14:paraId="31C36868" w14:textId="77777777" w:rsidR="009F014E" w:rsidRDefault="009F014E" w:rsidP="009F014E">
      <w:pPr>
        <w:pStyle w:val="ListParagraph"/>
        <w:numPr>
          <w:ilvl w:val="0"/>
          <w:numId w:val="11"/>
        </w:numPr>
      </w:pPr>
      <w:r w:rsidRPr="00C40573">
        <w:rPr>
          <w:i/>
        </w:rPr>
        <w:t>Cash Match</w:t>
      </w:r>
      <w:r>
        <w:t>: includes cash spent for project-related costs</w:t>
      </w:r>
      <w:r w:rsidR="00855A82">
        <w:t>.</w:t>
      </w:r>
    </w:p>
    <w:p w14:paraId="308926C3" w14:textId="77777777" w:rsidR="009F014E" w:rsidRDefault="009F014E" w:rsidP="009F014E">
      <w:pPr>
        <w:pStyle w:val="ListParagraph"/>
        <w:numPr>
          <w:ilvl w:val="0"/>
          <w:numId w:val="11"/>
        </w:numPr>
      </w:pPr>
      <w:r w:rsidRPr="00C40573">
        <w:rPr>
          <w:i/>
        </w:rPr>
        <w:lastRenderedPageBreak/>
        <w:t>In-kind Match</w:t>
      </w:r>
      <w:r>
        <w:t>: includes, but is not limited to, the valuation of non-cash contributions provided by third parties</w:t>
      </w:r>
      <w:proofErr w:type="gramStart"/>
      <w:r>
        <w:t xml:space="preserve">. </w:t>
      </w:r>
      <w:proofErr w:type="gramEnd"/>
      <w:r>
        <w:t>This type of match may be used in the form of services, supplies, real property, and equipment.</w:t>
      </w:r>
    </w:p>
    <w:p w14:paraId="2D864A8D" w14:textId="72C711B5" w:rsidR="007E27C4" w:rsidRDefault="007E27C4" w:rsidP="003503A2">
      <w:r>
        <w:t>Costs utilized for match must be allowable program costs.  Costs that are not allowable by the funding source may not be utilized as match.</w:t>
      </w:r>
    </w:p>
    <w:p w14:paraId="18A0DD89" w14:textId="1224EC34" w:rsidR="003503A2" w:rsidRPr="008B0E59" w:rsidRDefault="003503A2" w:rsidP="003503A2">
      <w:r>
        <w:t>Documentation supporting the value of in-kind match must be maintained in the subrecipient’s records.</w:t>
      </w:r>
    </w:p>
    <w:p w14:paraId="6E5F8A50" w14:textId="32BEC1D4" w:rsidR="007078B7" w:rsidRPr="007078B7" w:rsidRDefault="007078B7" w:rsidP="00D2403A">
      <w:pPr>
        <w:pStyle w:val="Heading2"/>
      </w:pPr>
      <w:bookmarkStart w:id="12" w:name="_Toc58588075"/>
      <w:r w:rsidRPr="007078B7">
        <w:t>Can volunteers be used as match?</w:t>
      </w:r>
      <w:bookmarkEnd w:id="12"/>
    </w:p>
    <w:p w14:paraId="624A0C15" w14:textId="4B640CB6" w:rsidR="007078B7" w:rsidRPr="007078B7" w:rsidRDefault="007078B7" w:rsidP="007078B7">
      <w:r w:rsidRPr="007078B7">
        <w:t xml:space="preserve">Yes, volunteers can be used as match.  Volunteer time and activity must be directly related to the project and their percentage of time and effort will need to be reported in order to count towards the project’s match.  Reported volunteer time will be held to the same standards of 2 CFR 200 as paid staff of the project.  Job descriptions and time and activity sheets are required for volunteers used as match.  </w:t>
      </w:r>
    </w:p>
    <w:p w14:paraId="4DBE668F" w14:textId="3231EEA8" w:rsidR="007973BA" w:rsidRPr="00855A82" w:rsidRDefault="007973BA" w:rsidP="00D2403A">
      <w:pPr>
        <w:pStyle w:val="Heading2"/>
      </w:pPr>
      <w:bookmarkStart w:id="13" w:name="_Toc58588076"/>
      <w:r w:rsidRPr="00855A82">
        <w:t>What recordkeeping requirements apply to project match?</w:t>
      </w:r>
      <w:bookmarkEnd w:id="13"/>
    </w:p>
    <w:p w14:paraId="1C714921" w14:textId="77777777" w:rsidR="00855A82" w:rsidRPr="008B0E59" w:rsidRDefault="00855A82" w:rsidP="007973BA">
      <w:r>
        <w:t>Subrecipients must maintain records which clearly show the source, amount, and timing for all matched contributions</w:t>
      </w:r>
      <w:proofErr w:type="gramStart"/>
      <w:r>
        <w:t xml:space="preserve">. </w:t>
      </w:r>
      <w:proofErr w:type="gramEnd"/>
      <w:r>
        <w:t xml:space="preserve">Supporting documentation must be </w:t>
      </w:r>
      <w:r w:rsidR="00C40573">
        <w:t>maintained</w:t>
      </w:r>
      <w:r>
        <w:t xml:space="preserve"> and made available in the event of an audit or site visit.</w:t>
      </w:r>
    </w:p>
    <w:p w14:paraId="410F2DE9" w14:textId="5B082199" w:rsidR="007973BA" w:rsidRPr="00C40573" w:rsidRDefault="007973BA" w:rsidP="00D2403A">
      <w:pPr>
        <w:pStyle w:val="Heading2"/>
      </w:pPr>
      <w:bookmarkStart w:id="14" w:name="_Toc58588077"/>
      <w:r w:rsidRPr="00C40573">
        <w:t>What is the difference between sub-awarding and contracting?</w:t>
      </w:r>
      <w:bookmarkEnd w:id="14"/>
    </w:p>
    <w:p w14:paraId="048D0C60" w14:textId="03167D4D" w:rsidR="00B01895" w:rsidRPr="008C5071" w:rsidRDefault="00B01895" w:rsidP="007973BA">
      <w:r w:rsidRPr="008C5071">
        <w:t>The substance of the activity that has been contracted or sub-awarded will be the major factor considered.  If program activities are delegated to another entity that delegation will generally be considered a subaward.  On the other hand, if goods or services are purchased or procured from another entity for the non-Federal entity’s own use, that activity will generally be considered a contract</w:t>
      </w:r>
      <w:proofErr w:type="gramStart"/>
      <w:r w:rsidRPr="008C5071">
        <w:t xml:space="preserve">. </w:t>
      </w:r>
      <w:proofErr w:type="gramEnd"/>
      <w:r w:rsidRPr="008C5071">
        <w:t>For additional information on this topic, please refer to 2 C.F.R. § 200.330, subrecipient and contractor determination.</w:t>
      </w:r>
    </w:p>
    <w:p w14:paraId="10D19BA9" w14:textId="018415C9" w:rsidR="00B01895" w:rsidRDefault="00053D77" w:rsidP="007973BA">
      <w:r w:rsidRPr="008C5071">
        <w:t>Sub-awards and contracts must be approved by the GCC Grant Administrator before obligations can be made.  Please note that the approval of the grant award by the Commission does not constitute the approval of a specific sub-award or contract.</w:t>
      </w:r>
    </w:p>
    <w:p w14:paraId="18FC4F67" w14:textId="4256BEFA" w:rsidR="00DF7BB7" w:rsidRPr="00C25D0F" w:rsidRDefault="00DF7BB7" w:rsidP="00DF7BB7">
      <w:pPr>
        <w:pStyle w:val="Heading2"/>
      </w:pPr>
      <w:bookmarkStart w:id="15" w:name="_Toc58588078"/>
      <w:r w:rsidRPr="00C25D0F">
        <w:t xml:space="preserve">What is supplanting? </w:t>
      </w:r>
      <w:r>
        <w:t xml:space="preserve"> </w:t>
      </w:r>
      <w:r w:rsidRPr="00C25D0F">
        <w:t>How do I avoid it?</w:t>
      </w:r>
      <w:bookmarkEnd w:id="15"/>
    </w:p>
    <w:p w14:paraId="227EECF9" w14:textId="77777777" w:rsidR="00DF7BB7" w:rsidRDefault="00DF7BB7" w:rsidP="00DF7BB7">
      <w:r>
        <w:t>Supplanting, consistent with the DOJ Grants Financial Guide, is the deliberate reduction of State, local, or tribal government funds otherwise available, specifically because federal funds are available (or expected to be available) to fund the same activity.</w:t>
      </w:r>
    </w:p>
    <w:p w14:paraId="7A55DC07" w14:textId="77777777" w:rsidR="00DF7BB7" w:rsidRDefault="00DF7BB7" w:rsidP="00DF7BB7">
      <w:r>
        <w:t xml:space="preserve">Federal funds may be used to </w:t>
      </w:r>
      <w:r w:rsidRPr="00C25D0F">
        <w:rPr>
          <w:u w:val="single"/>
        </w:rPr>
        <w:t>supplement</w:t>
      </w:r>
      <w:r>
        <w:t xml:space="preserve"> existing State and local funds for program activities and must not </w:t>
      </w:r>
      <w:r w:rsidRPr="00C25D0F">
        <w:rPr>
          <w:u w:val="single"/>
        </w:rPr>
        <w:t>supplant</w:t>
      </w:r>
      <w:r>
        <w:t xml:space="preserve"> (replace) funds that have been appropriated for the same purpose.  To avoid potential supplanting issues, the below guidelines should be followed:</w:t>
      </w:r>
    </w:p>
    <w:p w14:paraId="4AE6F500" w14:textId="77777777" w:rsidR="00DF7BB7" w:rsidRDefault="00DF7BB7" w:rsidP="00DF7BB7">
      <w:pPr>
        <w:pStyle w:val="ListParagraph"/>
        <w:numPr>
          <w:ilvl w:val="0"/>
          <w:numId w:val="12"/>
        </w:numPr>
      </w:pPr>
      <w:r>
        <w:t>Federal funds cannot be used to pay for existing employees unless the existing position is “back-filled” with a new hire.</w:t>
      </w:r>
    </w:p>
    <w:p w14:paraId="1951CF9A" w14:textId="77777777" w:rsidR="00DF7BB7" w:rsidRDefault="00DF7BB7" w:rsidP="00DF7BB7">
      <w:pPr>
        <w:pStyle w:val="ListParagraph"/>
        <w:numPr>
          <w:ilvl w:val="0"/>
          <w:numId w:val="12"/>
        </w:numPr>
      </w:pPr>
      <w:r>
        <w:t>Federal funds cannot be used to pay for items or costs that the award recipient is already obligated to pay with State, local, or tribal funds.</w:t>
      </w:r>
    </w:p>
    <w:p w14:paraId="72960F2C" w14:textId="77777777" w:rsidR="00DF7BB7" w:rsidRDefault="00DF7BB7" w:rsidP="00DF7BB7">
      <w:pPr>
        <w:pStyle w:val="ListParagraph"/>
        <w:numPr>
          <w:ilvl w:val="0"/>
          <w:numId w:val="12"/>
        </w:numPr>
      </w:pPr>
      <w:r>
        <w:t>State, local, or tribal funds previously appropriated, allocated, or budgeted for award purposes cannot be reduced or reallocated to other purposes because of the receipt of federal funds.</w:t>
      </w:r>
    </w:p>
    <w:p w14:paraId="01D10F16" w14:textId="77777777" w:rsidR="00DF7BB7" w:rsidRDefault="00DF7BB7" w:rsidP="00DF7BB7">
      <w:pPr>
        <w:pStyle w:val="ListParagraph"/>
        <w:numPr>
          <w:ilvl w:val="0"/>
          <w:numId w:val="12"/>
        </w:numPr>
      </w:pPr>
      <w:r>
        <w:lastRenderedPageBreak/>
        <w:t>Maintain documentation demonstrating that any reductions in non-Federal resources budgeted for award purposes is unrelated to the receipt or expected receipt of federal funds.</w:t>
      </w:r>
    </w:p>
    <w:p w14:paraId="5CF8C151" w14:textId="50118CEE" w:rsidR="00B01895" w:rsidRDefault="00B01895" w:rsidP="007973BA">
      <w:pPr>
        <w:rPr>
          <w:highlight w:val="yellow"/>
        </w:rPr>
      </w:pPr>
    </w:p>
    <w:p w14:paraId="3B156DC5" w14:textId="67EA4ED0" w:rsidR="007973BA" w:rsidRPr="00A60AA6" w:rsidRDefault="008B0E59" w:rsidP="00D2403A">
      <w:pPr>
        <w:pStyle w:val="Heading1"/>
      </w:pPr>
      <w:bookmarkStart w:id="16" w:name="_Toc58588079"/>
      <w:r w:rsidRPr="00A60AA6">
        <w:t>General Questions</w:t>
      </w:r>
      <w:bookmarkEnd w:id="16"/>
    </w:p>
    <w:p w14:paraId="4732C29F" w14:textId="264080CB" w:rsidR="006E58E2" w:rsidRDefault="006E58E2" w:rsidP="00D2403A">
      <w:pPr>
        <w:pStyle w:val="Heading2"/>
      </w:pPr>
      <w:bookmarkStart w:id="17" w:name="_Toc58588080"/>
      <w:r>
        <w:t>Is there a specific way that we should name and number the application attachments?</w:t>
      </w:r>
      <w:bookmarkEnd w:id="17"/>
    </w:p>
    <w:p w14:paraId="1399A6A5" w14:textId="097BDCFA" w:rsidR="006E58E2" w:rsidRPr="008C5071" w:rsidRDefault="006E58E2" w:rsidP="0025369D">
      <w:r>
        <w:t>Yes, please see your specific RFA for naming and numbering requirements for each required attachment.</w:t>
      </w:r>
    </w:p>
    <w:p w14:paraId="13877B3E" w14:textId="0BA0FCAF" w:rsidR="00F70DC1" w:rsidRDefault="006E58E2" w:rsidP="00D2403A">
      <w:pPr>
        <w:pStyle w:val="Heading2"/>
      </w:pPr>
      <w:bookmarkStart w:id="18" w:name="_Toc58588081"/>
      <w:r>
        <w:t>Am I required to use the forms (ex. Detailed Budget Narrative Form) that are outlined in the RFAs as Required Supporting Documents and located on the GCC website?</w:t>
      </w:r>
      <w:bookmarkEnd w:id="18"/>
    </w:p>
    <w:p w14:paraId="6108B383" w14:textId="419AFB18" w:rsidR="006E58E2" w:rsidRPr="0025369D" w:rsidRDefault="006E58E2" w:rsidP="0025369D">
      <w:pPr>
        <w:rPr>
          <w:color w:val="0563C1" w:themeColor="hyperlink"/>
          <w:sz w:val="23"/>
          <w:szCs w:val="23"/>
          <w:u w:val="single"/>
        </w:rPr>
      </w:pPr>
      <w:r>
        <w:t>Yes.  GCC is requiring that organizations utilize the forms on our website for their application attachments</w:t>
      </w:r>
      <w:r w:rsidR="002D496F">
        <w:t>, as indicated in the RFA</w:t>
      </w:r>
      <w:r>
        <w:t xml:space="preserve">: </w:t>
      </w:r>
      <w:hyperlink r:id="rId17" w:history="1">
        <w:r w:rsidRPr="000551F1">
          <w:rPr>
            <w:rStyle w:val="Hyperlink"/>
            <w:sz w:val="23"/>
            <w:szCs w:val="23"/>
          </w:rPr>
          <w:t>www.ncdps.gov/gccforms</w:t>
        </w:r>
      </w:hyperlink>
      <w:r>
        <w:rPr>
          <w:rStyle w:val="Hyperlink"/>
          <w:sz w:val="23"/>
          <w:szCs w:val="23"/>
        </w:rPr>
        <w:t xml:space="preserve"> </w:t>
      </w:r>
    </w:p>
    <w:p w14:paraId="755138EC" w14:textId="2E8AAD62" w:rsidR="00221357" w:rsidRDefault="00221357" w:rsidP="00D2403A">
      <w:pPr>
        <w:pStyle w:val="Heading2"/>
      </w:pPr>
      <w:bookmarkStart w:id="19" w:name="_Toc58588082"/>
      <w:r>
        <w:t xml:space="preserve">Can I apply for both VOCA and </w:t>
      </w:r>
      <w:r w:rsidR="0047721F">
        <w:t>STOP</w:t>
      </w:r>
      <w:r>
        <w:t xml:space="preserve"> funding to support the same program for my organization?</w:t>
      </w:r>
      <w:bookmarkEnd w:id="19"/>
    </w:p>
    <w:p w14:paraId="413E88F8" w14:textId="41F57792" w:rsidR="00221357" w:rsidRPr="008C5071" w:rsidRDefault="00221357" w:rsidP="0025369D">
      <w:r>
        <w:t xml:space="preserve">Yes, but you must ensure that the funding is tracked, reimbursements requested, and activities are reported separately for each funding source.  </w:t>
      </w:r>
    </w:p>
    <w:p w14:paraId="4020F8A1" w14:textId="09F77507" w:rsidR="007973BA" w:rsidRPr="003268DD" w:rsidRDefault="007973BA" w:rsidP="00D2403A">
      <w:pPr>
        <w:pStyle w:val="Heading2"/>
      </w:pPr>
      <w:bookmarkStart w:id="20" w:name="_Toc58588083"/>
      <w:r w:rsidRPr="003268DD">
        <w:t xml:space="preserve">Can you use volunteers in a project but </w:t>
      </w:r>
      <w:r w:rsidR="008B0E59" w:rsidRPr="003268DD">
        <w:t>not use them as in-kind match?</w:t>
      </w:r>
      <w:bookmarkEnd w:id="20"/>
    </w:p>
    <w:p w14:paraId="4BEF1F11" w14:textId="7E9A2794" w:rsidR="003268DD" w:rsidRPr="008B0E59" w:rsidRDefault="003268DD" w:rsidP="007973BA">
      <w:r>
        <w:t>Yes.</w:t>
      </w:r>
      <w:r w:rsidR="000C327B">
        <w:t xml:space="preserve">  VOCA requires the use of volunteers, so volunteers should be a part of all VOCA projects – even if the</w:t>
      </w:r>
      <w:r w:rsidR="00402422">
        <w:t>ir</w:t>
      </w:r>
      <w:r w:rsidR="000C327B">
        <w:t xml:space="preserve"> time is not used as in-kind match for the project.</w:t>
      </w:r>
    </w:p>
    <w:p w14:paraId="2F879C34" w14:textId="1A76C9C7" w:rsidR="007973BA" w:rsidRPr="00096131" w:rsidRDefault="007973BA" w:rsidP="00D2403A">
      <w:pPr>
        <w:pStyle w:val="Heading2"/>
      </w:pPr>
      <w:bookmarkStart w:id="21" w:name="_Toc58588084"/>
      <w:r w:rsidRPr="00096131">
        <w:t>If my agency is faith-based, can funds be used specifically for the</w:t>
      </w:r>
      <w:r w:rsidR="008B0E59" w:rsidRPr="00096131">
        <w:t xml:space="preserve"> religious activities offered?</w:t>
      </w:r>
      <w:bookmarkEnd w:id="21"/>
    </w:p>
    <w:p w14:paraId="0080463E" w14:textId="77777777" w:rsidR="00096131" w:rsidRPr="008B0E59" w:rsidRDefault="00096131" w:rsidP="00096131">
      <w:r>
        <w:t>28 CFR 38.2 allows faith-based and religious organizations to retain their independence and carry out their mission, including the definition, development, practice, and expression of their religious beliefs, provided that they do not use direct federal financial assistance, whether received through a prime award or a subaward, to support or engage in any explicitly religious activities, including activities that involve overt religious content, such as worship, religious instruction, or proselytization.</w:t>
      </w:r>
    </w:p>
    <w:p w14:paraId="541379B6" w14:textId="4BD4C466" w:rsidR="007973BA" w:rsidRPr="00A439C2" w:rsidRDefault="007973BA" w:rsidP="00D2403A">
      <w:pPr>
        <w:pStyle w:val="Heading2"/>
      </w:pPr>
      <w:bookmarkStart w:id="22" w:name="_Toc58588085"/>
      <w:r w:rsidRPr="00A439C2">
        <w:t>If a victim resides in a county outside of where my agency is established, is my agency responsible for providing services?</w:t>
      </w:r>
      <w:bookmarkEnd w:id="22"/>
    </w:p>
    <w:p w14:paraId="0A311603" w14:textId="77777777" w:rsidR="0011736F" w:rsidRPr="008B0E59" w:rsidRDefault="00A439C2" w:rsidP="007973BA">
      <w:r>
        <w:t>All funding provided to subrecipients are public monies intended to serve citizens throughout the state</w:t>
      </w:r>
      <w:proofErr w:type="gramStart"/>
      <w:r>
        <w:t xml:space="preserve">. </w:t>
      </w:r>
      <w:proofErr w:type="gramEnd"/>
      <w:r>
        <w:t xml:space="preserve">Agencies cannot decline to serve victims seeking resources based on their physical address or where their home is based. </w:t>
      </w:r>
    </w:p>
    <w:p w14:paraId="3730CD0F" w14:textId="6ABA059A" w:rsidR="007973BA" w:rsidRPr="000C5C7A" w:rsidRDefault="007973BA" w:rsidP="00D2403A">
      <w:pPr>
        <w:pStyle w:val="Heading2"/>
      </w:pPr>
      <w:bookmarkStart w:id="23" w:name="_Toc58588086"/>
      <w:r w:rsidRPr="000C5C7A">
        <w:t>I am an Executive Director funded through GCC-administered grants</w:t>
      </w:r>
      <w:proofErr w:type="gramStart"/>
      <w:r w:rsidRPr="000C5C7A">
        <w:t xml:space="preserve">. </w:t>
      </w:r>
      <w:proofErr w:type="gramEnd"/>
      <w:r w:rsidRPr="000C5C7A">
        <w:t>Can my position be 100% funded through our projects?</w:t>
      </w:r>
      <w:bookmarkEnd w:id="23"/>
    </w:p>
    <w:p w14:paraId="663794E9" w14:textId="082E0D68" w:rsidR="007C4F1B" w:rsidRPr="008B0E59" w:rsidRDefault="000C5C7A" w:rsidP="00C25D0F">
      <w:r>
        <w:t>Executive Directors cannot be 100% funded through subawards</w:t>
      </w:r>
      <w:proofErr w:type="gramStart"/>
      <w:r>
        <w:t xml:space="preserve">. </w:t>
      </w:r>
      <w:proofErr w:type="gramEnd"/>
      <w:r>
        <w:t xml:space="preserve">Personnel costs that are directly related to providing direct services and supporting activities are allowable costs.  Executive Directors have responsibilities that do not include or directly support the allowable activities </w:t>
      </w:r>
      <w:r w:rsidR="007C6961">
        <w:t>(for example, fundraising, donor retention, board meetings, and executive administrative functions).</w:t>
      </w:r>
    </w:p>
    <w:p w14:paraId="7D588E06" w14:textId="19750E60" w:rsidR="007973BA" w:rsidRPr="00360C34" w:rsidRDefault="007973BA" w:rsidP="00D2403A">
      <w:pPr>
        <w:pStyle w:val="Heading2"/>
      </w:pPr>
      <w:bookmarkStart w:id="24" w:name="_Toc58588087"/>
      <w:r w:rsidRPr="00360C34">
        <w:lastRenderedPageBreak/>
        <w:t>Does immigration status impact whether a victim is eligible for services?</w:t>
      </w:r>
      <w:bookmarkEnd w:id="24"/>
    </w:p>
    <w:p w14:paraId="494D8526" w14:textId="4111ED85" w:rsidR="00360C34" w:rsidRPr="008B0E59" w:rsidRDefault="00360C34" w:rsidP="007973BA">
      <w:r>
        <w:t xml:space="preserve">Under the VOCA and </w:t>
      </w:r>
      <w:r w:rsidR="0047721F">
        <w:t>STOP</w:t>
      </w:r>
      <w:r>
        <w:t xml:space="preserve"> programs, victim eligibility for direct services is not dependent on the victim’s immigration status.</w:t>
      </w:r>
    </w:p>
    <w:p w14:paraId="3DF9DE25" w14:textId="694391F2" w:rsidR="007973BA" w:rsidRPr="00D41587" w:rsidRDefault="007973BA" w:rsidP="00D2403A">
      <w:pPr>
        <w:pStyle w:val="Heading2"/>
      </w:pPr>
      <w:bookmarkStart w:id="25" w:name="_Toc58588088"/>
      <w:r w:rsidRPr="00D41587">
        <w:t>Can my grant be used to purchase food?</w:t>
      </w:r>
      <w:bookmarkEnd w:id="25"/>
    </w:p>
    <w:p w14:paraId="35CBF507" w14:textId="77777777" w:rsidR="00D41587" w:rsidRDefault="00D41587" w:rsidP="007973BA">
      <w:r>
        <w:t xml:space="preserve">Yes, in some instances. </w:t>
      </w:r>
    </w:p>
    <w:p w14:paraId="6C83E13C" w14:textId="7D1B158F" w:rsidR="00D41587" w:rsidRDefault="00D41587" w:rsidP="007973BA">
      <w:r>
        <w:t>Food provision within the context of victim services is permissible if the food is necessary or integral to providing services to victims of crime for their safety</w:t>
      </w:r>
      <w:r w:rsidR="007C6961">
        <w:t xml:space="preserve"> (for example, providing food to victims at a shelter)</w:t>
      </w:r>
      <w:r>
        <w:t>.</w:t>
      </w:r>
    </w:p>
    <w:p w14:paraId="1A64B6E1" w14:textId="13170DCE" w:rsidR="00D41587" w:rsidRDefault="00D41587" w:rsidP="007973BA">
      <w:r>
        <w:t xml:space="preserve">Food for training and other events (not direct services) is generally </w:t>
      </w:r>
      <w:r w:rsidR="00955533">
        <w:t>unallowable but</w:t>
      </w:r>
      <w:r w:rsidR="0058712F">
        <w:t xml:space="preserve"> may be permitted with pre-approval from the US Department of Justice.</w:t>
      </w:r>
      <w:r>
        <w:t xml:space="preserve">  </w:t>
      </w:r>
      <w:r w:rsidR="0058712F">
        <w:t>DOJ only approves requests when it deems food and beverage costs to be necessary.</w:t>
      </w:r>
    </w:p>
    <w:p w14:paraId="76795F3D" w14:textId="22686944" w:rsidR="007C6961" w:rsidRDefault="007C6961" w:rsidP="007B6F62">
      <w:pPr>
        <w:pStyle w:val="Heading2"/>
      </w:pPr>
      <w:bookmarkStart w:id="26" w:name="_Toc58588089"/>
      <w:r>
        <w:t>What documentation do I need to support my agency’s use of gas cards or bus cards?</w:t>
      </w:r>
      <w:bookmarkEnd w:id="26"/>
    </w:p>
    <w:p w14:paraId="5B04A1B1" w14:textId="67D1D7DD" w:rsidR="007C6961" w:rsidRDefault="000B1644" w:rsidP="007973BA">
      <w:r>
        <w:t xml:space="preserve">Funded projects that use gift cards to support services must have written policies and internal controls regarding the purchase and use of such </w:t>
      </w:r>
      <w:r w:rsidR="00460BAF">
        <w:t>cards and</w:t>
      </w:r>
      <w:r>
        <w:t xml:space="preserve"> </w:t>
      </w:r>
      <w:r w:rsidR="00E6283B">
        <w:t xml:space="preserve">must </w:t>
      </w:r>
      <w:r>
        <w:t>ensure that they are used only as reasonably necessary.</w:t>
      </w:r>
      <w:r w:rsidR="00C01826">
        <w:t xml:space="preserve">  Policies should address:</w:t>
      </w:r>
    </w:p>
    <w:p w14:paraId="6E82F8B0" w14:textId="61148FD1" w:rsidR="00C01826" w:rsidRDefault="00C01826" w:rsidP="00C01826">
      <w:pPr>
        <w:pStyle w:val="ListParagraph"/>
        <w:numPr>
          <w:ilvl w:val="0"/>
          <w:numId w:val="13"/>
        </w:numPr>
      </w:pPr>
      <w:r>
        <w:t>What approvals are required to purchase the cards;</w:t>
      </w:r>
    </w:p>
    <w:p w14:paraId="4BA5FF7A" w14:textId="30FB0C6E" w:rsidR="00C01826" w:rsidRDefault="00C01826" w:rsidP="00C01826">
      <w:pPr>
        <w:pStyle w:val="ListParagraph"/>
        <w:numPr>
          <w:ilvl w:val="0"/>
          <w:numId w:val="13"/>
        </w:numPr>
      </w:pPr>
      <w:r>
        <w:t>How the cards are stored and accounted for;</w:t>
      </w:r>
    </w:p>
    <w:p w14:paraId="2A18A2F7" w14:textId="17634FDB" w:rsidR="00C01826" w:rsidRDefault="00C01826" w:rsidP="00C01826">
      <w:pPr>
        <w:pStyle w:val="ListParagraph"/>
        <w:numPr>
          <w:ilvl w:val="0"/>
          <w:numId w:val="13"/>
        </w:numPr>
      </w:pPr>
      <w:r>
        <w:t>What items may be purchased with the cards;</w:t>
      </w:r>
      <w:r w:rsidR="00AB57E2">
        <w:t xml:space="preserve"> and</w:t>
      </w:r>
    </w:p>
    <w:p w14:paraId="5FF5348B" w14:textId="0A39650A" w:rsidR="00AB57E2" w:rsidRPr="007C6961" w:rsidRDefault="00AB57E2" w:rsidP="00AB57E2">
      <w:pPr>
        <w:pStyle w:val="ListParagraph"/>
        <w:numPr>
          <w:ilvl w:val="0"/>
          <w:numId w:val="13"/>
        </w:numPr>
      </w:pPr>
      <w:r>
        <w:t>What supporting documentation is required for purchases.</w:t>
      </w:r>
    </w:p>
    <w:p w14:paraId="24C8A7C9" w14:textId="236D0065" w:rsidR="007973BA" w:rsidRDefault="007973BA" w:rsidP="00D2403A">
      <w:pPr>
        <w:pStyle w:val="Heading2"/>
      </w:pPr>
      <w:bookmarkStart w:id="27" w:name="_Toc58588090"/>
      <w:r w:rsidRPr="0058712F">
        <w:t>Can grants supporting law enforcement be used to purchase standard issued law enforcement items, such as uniforms, vests, shields, weapons, bullets, and armory?</w:t>
      </w:r>
      <w:bookmarkEnd w:id="27"/>
    </w:p>
    <w:p w14:paraId="40D99FE3" w14:textId="78531D3D" w:rsidR="0058712F" w:rsidRDefault="0058712F" w:rsidP="007973BA">
      <w:r>
        <w:t>Under the VOCA and VAWA</w:t>
      </w:r>
      <w:r w:rsidR="00053D77">
        <w:t>/STOP</w:t>
      </w:r>
      <w:r>
        <w:t xml:space="preserve"> programs, these items are expressly unallowable.</w:t>
      </w:r>
    </w:p>
    <w:p w14:paraId="51F8B426" w14:textId="05A96549" w:rsidR="00107D2E" w:rsidRPr="001D5B4B" w:rsidRDefault="00107D2E" w:rsidP="00D2403A">
      <w:pPr>
        <w:pStyle w:val="Heading2"/>
      </w:pPr>
      <w:bookmarkStart w:id="28" w:name="_Toc58588091"/>
      <w:r w:rsidRPr="001D5B4B">
        <w:t xml:space="preserve">What research and evaluation costs can be supported with </w:t>
      </w:r>
      <w:r>
        <w:t>my grant</w:t>
      </w:r>
      <w:r w:rsidRPr="001D5B4B">
        <w:t>?</w:t>
      </w:r>
      <w:bookmarkEnd w:id="28"/>
    </w:p>
    <w:p w14:paraId="4D2402C0" w14:textId="106B0C7F" w:rsidR="00107D2E" w:rsidRPr="008B0E59" w:rsidRDefault="00053D77" w:rsidP="00107D2E">
      <w:r>
        <w:rPr>
          <w:sz w:val="23"/>
          <w:szCs w:val="23"/>
        </w:rPr>
        <w:t xml:space="preserve">Under the </w:t>
      </w:r>
      <w:r w:rsidR="00107D2E">
        <w:rPr>
          <w:sz w:val="23"/>
          <w:szCs w:val="23"/>
        </w:rPr>
        <w:t xml:space="preserve">VOCA </w:t>
      </w:r>
      <w:r>
        <w:rPr>
          <w:sz w:val="23"/>
          <w:szCs w:val="23"/>
        </w:rPr>
        <w:t>and VAWA/STOP</w:t>
      </w:r>
      <w:r w:rsidR="00107D2E">
        <w:rPr>
          <w:sz w:val="23"/>
          <w:szCs w:val="23"/>
        </w:rPr>
        <w:t xml:space="preserve"> </w:t>
      </w:r>
      <w:r>
        <w:rPr>
          <w:sz w:val="23"/>
          <w:szCs w:val="23"/>
        </w:rPr>
        <w:t xml:space="preserve">programs, funds </w:t>
      </w:r>
      <w:r w:rsidR="00107D2E">
        <w:rPr>
          <w:sz w:val="23"/>
          <w:szCs w:val="23"/>
        </w:rPr>
        <w:t xml:space="preserve">cannot be used to support research. </w:t>
      </w:r>
      <w:r w:rsidR="00714A41">
        <w:rPr>
          <w:sz w:val="23"/>
          <w:szCs w:val="23"/>
        </w:rPr>
        <w:t xml:space="preserve"> </w:t>
      </w:r>
      <w:r w:rsidR="00107D2E">
        <w:rPr>
          <w:sz w:val="23"/>
          <w:szCs w:val="23"/>
        </w:rPr>
        <w:t xml:space="preserve">Research and studies are expressly unallowable expenses.  Activities related to </w:t>
      </w:r>
      <w:r w:rsidR="00714A41">
        <w:rPr>
          <w:sz w:val="23"/>
          <w:szCs w:val="23"/>
        </w:rPr>
        <w:t xml:space="preserve">program evaluation including, but not limited to, surveys or studies that measure the effect or outcome of victim services </w:t>
      </w:r>
      <w:r w:rsidR="00E6283B">
        <w:rPr>
          <w:sz w:val="23"/>
          <w:szCs w:val="23"/>
        </w:rPr>
        <w:t xml:space="preserve">are </w:t>
      </w:r>
      <w:r w:rsidR="00714A41">
        <w:rPr>
          <w:sz w:val="23"/>
          <w:szCs w:val="23"/>
        </w:rPr>
        <w:t xml:space="preserve"> </w:t>
      </w:r>
      <w:r w:rsidR="00107D2E">
        <w:rPr>
          <w:sz w:val="23"/>
          <w:szCs w:val="23"/>
        </w:rPr>
        <w:t xml:space="preserve"> allowable.</w:t>
      </w:r>
    </w:p>
    <w:p w14:paraId="11055759" w14:textId="3A2B7C3B" w:rsidR="00D2403A" w:rsidRDefault="008B0E59" w:rsidP="00D2403A">
      <w:pPr>
        <w:pStyle w:val="Heading1"/>
      </w:pPr>
      <w:bookmarkStart w:id="29" w:name="_Toc58588092"/>
      <w:r w:rsidRPr="00A60AA6">
        <w:t>VOCA-Specific Questions</w:t>
      </w:r>
      <w:bookmarkEnd w:id="29"/>
      <w:r w:rsidR="00D2403A" w:rsidRPr="00D2403A">
        <w:t xml:space="preserve"> </w:t>
      </w:r>
    </w:p>
    <w:p w14:paraId="751CB586" w14:textId="088E88EF" w:rsidR="007973BA" w:rsidRPr="00D2403A" w:rsidRDefault="00D2403A" w:rsidP="007973BA">
      <w:r w:rsidRPr="0044558C">
        <w:t>The primary purpose for the VOCA Grant Program is to fund direct services to crime victims and their families.  Services under this grant program are defined as those efforts that respond to the emotional and physical needs of crime victims; assist primary and secondary victims of crime to stabilize their lives after victimization; assist victims to understand and participate in the criminal justice system; and provide victims of crime with a measure of safety and security as appropriate to their victimization</w:t>
      </w:r>
    </w:p>
    <w:p w14:paraId="12F35C03" w14:textId="2DE755D2" w:rsidR="008407F7" w:rsidRDefault="008407F7" w:rsidP="00D2403A">
      <w:pPr>
        <w:pStyle w:val="Heading2"/>
      </w:pPr>
      <w:bookmarkStart w:id="30" w:name="_Toc58588093"/>
      <w:r>
        <w:t>Are there funding caps or growth limits for the competitive VOCA priorities?</w:t>
      </w:r>
      <w:bookmarkEnd w:id="30"/>
    </w:p>
    <w:p w14:paraId="1B9C31C1" w14:textId="6F7B0AE0" w:rsidR="008407F7" w:rsidRDefault="008407F7" w:rsidP="008407F7">
      <w:pPr>
        <w:rPr>
          <w:rFonts w:cstheme="minorHAnsi"/>
          <w:sz w:val="23"/>
          <w:szCs w:val="23"/>
        </w:rPr>
      </w:pPr>
      <w:r w:rsidRPr="0025369D">
        <w:rPr>
          <w:rFonts w:cstheme="minorHAnsi"/>
          <w:sz w:val="23"/>
          <w:szCs w:val="23"/>
        </w:rPr>
        <w:t>GCC is limiting growth on continuation projects.</w:t>
      </w:r>
      <w:r>
        <w:rPr>
          <w:rFonts w:cstheme="minorHAnsi"/>
          <w:b/>
          <w:sz w:val="23"/>
          <w:szCs w:val="23"/>
        </w:rPr>
        <w:t xml:space="preserve">  </w:t>
      </w:r>
      <w:r w:rsidRPr="00C96515">
        <w:rPr>
          <w:rFonts w:cstheme="minorHAnsi"/>
          <w:b/>
          <w:sz w:val="23"/>
          <w:szCs w:val="23"/>
        </w:rPr>
        <w:t xml:space="preserve"> </w:t>
      </w:r>
      <w:r w:rsidRPr="00C96515">
        <w:rPr>
          <w:rFonts w:cstheme="minorHAnsi"/>
          <w:sz w:val="23"/>
          <w:szCs w:val="23"/>
        </w:rPr>
        <w:t>As</w:t>
      </w:r>
      <w:r w:rsidR="00E6283B">
        <w:rPr>
          <w:rFonts w:cstheme="minorHAnsi"/>
          <w:sz w:val="23"/>
          <w:szCs w:val="23"/>
        </w:rPr>
        <w:t xml:space="preserve"> the federal</w:t>
      </w:r>
      <w:r w:rsidRPr="00C96515">
        <w:rPr>
          <w:rFonts w:cstheme="minorHAnsi"/>
          <w:sz w:val="23"/>
          <w:szCs w:val="23"/>
        </w:rPr>
        <w:t xml:space="preserve"> funding</w:t>
      </w:r>
      <w:r w:rsidR="00E6283B">
        <w:rPr>
          <w:rFonts w:cstheme="minorHAnsi"/>
          <w:sz w:val="23"/>
          <w:szCs w:val="23"/>
        </w:rPr>
        <w:t xml:space="preserve"> GCC receives</w:t>
      </w:r>
      <w:r w:rsidRPr="00C96515">
        <w:rPr>
          <w:rFonts w:cstheme="minorHAnsi"/>
          <w:sz w:val="23"/>
          <w:szCs w:val="23"/>
        </w:rPr>
        <w:t xml:space="preserve"> is limited,</w:t>
      </w:r>
      <w:r w:rsidR="00E6283B">
        <w:rPr>
          <w:rFonts w:cstheme="minorHAnsi"/>
          <w:sz w:val="23"/>
          <w:szCs w:val="23"/>
        </w:rPr>
        <w:t xml:space="preserve"> and in some cases decreasing,</w:t>
      </w:r>
      <w:r w:rsidR="0025369D">
        <w:rPr>
          <w:rFonts w:cstheme="minorHAnsi"/>
          <w:sz w:val="23"/>
          <w:szCs w:val="23"/>
        </w:rPr>
        <w:t xml:space="preserve"> </w:t>
      </w:r>
      <w:r w:rsidRPr="00C96515">
        <w:rPr>
          <w:rFonts w:cstheme="minorHAnsi"/>
          <w:sz w:val="23"/>
          <w:szCs w:val="23"/>
        </w:rPr>
        <w:t xml:space="preserve">agencies requesting funding for continuation projects are limited to level </w:t>
      </w:r>
      <w:r w:rsidRPr="00C96515">
        <w:rPr>
          <w:rFonts w:cstheme="minorHAnsi"/>
          <w:sz w:val="23"/>
          <w:szCs w:val="23"/>
        </w:rPr>
        <w:lastRenderedPageBreak/>
        <w:t>funding, th</w:t>
      </w:r>
      <w:r w:rsidR="00E6283B">
        <w:rPr>
          <w:rFonts w:cstheme="minorHAnsi"/>
          <w:sz w:val="23"/>
          <w:szCs w:val="23"/>
        </w:rPr>
        <w:t>is means that th</w:t>
      </w:r>
      <w:r w:rsidRPr="00C96515">
        <w:rPr>
          <w:rFonts w:cstheme="minorHAnsi"/>
          <w:sz w:val="23"/>
          <w:szCs w:val="23"/>
        </w:rPr>
        <w:t>e federal share of the project cannot increase from the previous</w:t>
      </w:r>
      <w:r w:rsidR="00E6283B">
        <w:rPr>
          <w:rFonts w:cstheme="minorHAnsi"/>
          <w:sz w:val="23"/>
          <w:szCs w:val="23"/>
        </w:rPr>
        <w:t>ly funded federal share amount</w:t>
      </w:r>
      <w:r w:rsidRPr="00C96515">
        <w:rPr>
          <w:rFonts w:cstheme="minorHAnsi"/>
          <w:sz w:val="23"/>
          <w:szCs w:val="23"/>
        </w:rPr>
        <w:t xml:space="preserve">. </w:t>
      </w:r>
    </w:p>
    <w:p w14:paraId="73C41B65" w14:textId="23A1AEAC" w:rsidR="008407F7" w:rsidRDefault="008407F7" w:rsidP="008407F7">
      <w:r>
        <w:t>Funding caps have not been set for new projects, however, the GCC may request a budget reduction to new projects during the review process, prior to award.</w:t>
      </w:r>
    </w:p>
    <w:p w14:paraId="1ED418C1" w14:textId="77777777" w:rsidR="008407F7" w:rsidRPr="008407F7" w:rsidRDefault="008407F7" w:rsidP="0025369D"/>
    <w:p w14:paraId="696CDE7F" w14:textId="52E0BE5A" w:rsidR="00D109CD" w:rsidRPr="00366A00" w:rsidRDefault="00D109CD" w:rsidP="00D2403A">
      <w:pPr>
        <w:pStyle w:val="Heading2"/>
      </w:pPr>
      <w:bookmarkStart w:id="31" w:name="_Toc58588094"/>
      <w:r w:rsidRPr="00366A00">
        <w:t xml:space="preserve">Who does VOCA consider a </w:t>
      </w:r>
      <w:r>
        <w:t>crime victim?</w:t>
      </w:r>
      <w:bookmarkEnd w:id="31"/>
    </w:p>
    <w:p w14:paraId="10A0A20E" w14:textId="77777777" w:rsidR="00D109CD" w:rsidRDefault="00D109CD" w:rsidP="00D109CD">
      <w:r>
        <w:t>A c</w:t>
      </w:r>
      <w:r w:rsidRPr="00366A00">
        <w:t>rime victim</w:t>
      </w:r>
      <w:r>
        <w:t xml:space="preserve"> </w:t>
      </w:r>
      <w:r w:rsidRPr="00366A00">
        <w:t>means a person who has suffered physical, sexual, financial, or emotional harm as a result of the commission of a crime</w:t>
      </w:r>
      <w:r>
        <w:t>.</w:t>
      </w:r>
    </w:p>
    <w:p w14:paraId="7D75A67C" w14:textId="097BA61A" w:rsidR="00D109CD" w:rsidRPr="00045F0F" w:rsidRDefault="00D109CD" w:rsidP="00D2403A">
      <w:pPr>
        <w:pStyle w:val="Heading2"/>
      </w:pPr>
      <w:bookmarkStart w:id="32" w:name="_Toc58588095"/>
      <w:r w:rsidRPr="00045F0F">
        <w:t>Who does VOCA consider a victim of child abuse?</w:t>
      </w:r>
      <w:bookmarkEnd w:id="32"/>
    </w:p>
    <w:p w14:paraId="2580D41E" w14:textId="62F3C9F9" w:rsidR="00D109CD" w:rsidRDefault="00D109CD" w:rsidP="00D109CD">
      <w:r>
        <w:t>A</w:t>
      </w:r>
      <w:r w:rsidRPr="00366A00">
        <w:t xml:space="preserve"> victim of crime, where such crime involved an act or omission considered to be child abuse under the law</w:t>
      </w:r>
      <w:r w:rsidR="0025195C">
        <w:t>s</w:t>
      </w:r>
      <w:r w:rsidRPr="00366A00">
        <w:t xml:space="preserve"> of </w:t>
      </w:r>
      <w:r>
        <w:t>North Carolina</w:t>
      </w:r>
      <w:r w:rsidRPr="00366A00">
        <w:t>.</w:t>
      </w:r>
      <w:r>
        <w:t xml:space="preserve"> </w:t>
      </w:r>
      <w:r w:rsidRPr="00366A00">
        <w:t xml:space="preserve"> In addition, victims of child abuse may include, but are not limited to, child victims </w:t>
      </w:r>
      <w:proofErr w:type="gramStart"/>
      <w:r w:rsidRPr="00366A00">
        <w:t>of</w:t>
      </w:r>
      <w:r>
        <w:t>:</w:t>
      </w:r>
      <w:proofErr w:type="gramEnd"/>
      <w:r w:rsidRPr="00366A00">
        <w:t xml:space="preserve"> </w:t>
      </w:r>
      <w:r>
        <w:t>p</w:t>
      </w:r>
      <w:r w:rsidRPr="00366A00">
        <w:t>hysical, sexual, or emotional abuse; child pornography-related offenses; neglect; commercial sexual exploitation; bullying; and/or exposure to violence.</w:t>
      </w:r>
    </w:p>
    <w:p w14:paraId="5A563A1F" w14:textId="4C285FDA" w:rsidR="00D109CD" w:rsidRPr="00240BE5" w:rsidRDefault="00D109CD" w:rsidP="00D2403A">
      <w:pPr>
        <w:pStyle w:val="Heading2"/>
      </w:pPr>
      <w:bookmarkStart w:id="33" w:name="_Toc58588096"/>
      <w:r w:rsidRPr="00240BE5">
        <w:t>Are VOCA-funded programs required to use volunteers?</w:t>
      </w:r>
      <w:bookmarkEnd w:id="33"/>
      <w:r w:rsidRPr="00240BE5">
        <w:t xml:space="preserve"> </w:t>
      </w:r>
    </w:p>
    <w:p w14:paraId="39008C15" w14:textId="77777777" w:rsidR="00D109CD" w:rsidRDefault="00D109CD" w:rsidP="00D109CD">
      <w:r>
        <w:t>VOCA requires programs to use volunteers in order to be eligible to receive VOCA funds.  The GCC may waive this requirement provided that the program submits written documentation with their application of its efforts to recruit and maintain volunteers, or otherwise demonstrates why circumstances prohibit the use of volunteers, to the satisfaction of GCC.</w:t>
      </w:r>
    </w:p>
    <w:p w14:paraId="650ACCC8" w14:textId="76A4B712" w:rsidR="007973BA" w:rsidRPr="003F4BC5" w:rsidRDefault="007973BA" w:rsidP="00D2403A">
      <w:pPr>
        <w:pStyle w:val="Heading2"/>
      </w:pPr>
      <w:bookmarkStart w:id="34" w:name="_Toc58588097"/>
      <w:r w:rsidRPr="003F4BC5">
        <w:t>How do I request to waive the 20% mat</w:t>
      </w:r>
      <w:r w:rsidR="008B0E59" w:rsidRPr="003F4BC5">
        <w:t>ch requirement for my project?</w:t>
      </w:r>
      <w:bookmarkEnd w:id="34"/>
    </w:p>
    <w:p w14:paraId="6A5EF59C" w14:textId="77777777" w:rsidR="008D5ED5" w:rsidRDefault="008D5ED5" w:rsidP="008D5ED5">
      <w:pPr>
        <w:autoSpaceDE w:val="0"/>
        <w:autoSpaceDN w:val="0"/>
        <w:adjustRightInd w:val="0"/>
        <w:spacing w:after="120"/>
        <w:rPr>
          <w:rFonts w:cstheme="minorHAnsi"/>
          <w:color w:val="000000"/>
          <w:sz w:val="23"/>
          <w:szCs w:val="23"/>
        </w:rPr>
      </w:pPr>
      <w:r w:rsidRPr="000517F1">
        <w:rPr>
          <w:rFonts w:cstheme="minorHAnsi"/>
          <w:color w:val="000000"/>
          <w:sz w:val="23"/>
          <w:szCs w:val="23"/>
        </w:rPr>
        <w:t xml:space="preserve">Waiver of the 20% match share may be requested by agencies unable to meet the requirement.  </w:t>
      </w:r>
      <w:r>
        <w:rPr>
          <w:rFonts w:cstheme="minorHAnsi"/>
          <w:color w:val="000000"/>
          <w:sz w:val="23"/>
          <w:szCs w:val="23"/>
        </w:rPr>
        <w:t>Agencies must submit their written requests on agency letterhead at the time of application</w:t>
      </w:r>
      <w:proofErr w:type="gramStart"/>
      <w:r>
        <w:rPr>
          <w:rFonts w:cstheme="minorHAnsi"/>
          <w:color w:val="000000"/>
          <w:sz w:val="23"/>
          <w:szCs w:val="23"/>
        </w:rPr>
        <w:t>.</w:t>
      </w:r>
      <w:r w:rsidR="005D3546" w:rsidRPr="005D3546">
        <w:t xml:space="preserve"> </w:t>
      </w:r>
      <w:proofErr w:type="gramEnd"/>
      <w:r w:rsidR="005D3546">
        <w:t xml:space="preserve">If you are applying for multiple VOCA-funded projects, please include your request for match waiver as an upload to each project application.  </w:t>
      </w:r>
    </w:p>
    <w:p w14:paraId="58016385" w14:textId="77777777" w:rsidR="008D5ED5" w:rsidRPr="000517F1" w:rsidRDefault="008D5ED5" w:rsidP="008D5ED5">
      <w:pPr>
        <w:autoSpaceDE w:val="0"/>
        <w:autoSpaceDN w:val="0"/>
        <w:adjustRightInd w:val="0"/>
        <w:spacing w:after="120"/>
        <w:rPr>
          <w:rFonts w:cstheme="minorHAnsi"/>
          <w:color w:val="000000"/>
          <w:sz w:val="23"/>
          <w:szCs w:val="23"/>
        </w:rPr>
      </w:pPr>
      <w:r>
        <w:rPr>
          <w:rFonts w:cstheme="minorHAnsi"/>
          <w:color w:val="000000"/>
          <w:sz w:val="23"/>
          <w:szCs w:val="23"/>
        </w:rPr>
        <w:t>Requests for match waiver must answer the following questions, as applicable:</w:t>
      </w:r>
      <w:r w:rsidRPr="000517F1">
        <w:rPr>
          <w:rFonts w:cstheme="minorHAnsi"/>
          <w:color w:val="000000"/>
          <w:sz w:val="23"/>
          <w:szCs w:val="23"/>
        </w:rPr>
        <w:t xml:space="preserve"> </w:t>
      </w:r>
    </w:p>
    <w:p w14:paraId="4853DD34" w14:textId="77777777" w:rsidR="008D5ED5" w:rsidRPr="008D5ED5" w:rsidRDefault="008D5ED5" w:rsidP="008D5ED5">
      <w:pPr>
        <w:numPr>
          <w:ilvl w:val="0"/>
          <w:numId w:val="5"/>
        </w:numPr>
        <w:autoSpaceDE w:val="0"/>
        <w:autoSpaceDN w:val="0"/>
        <w:adjustRightInd w:val="0"/>
        <w:spacing w:after="120"/>
        <w:rPr>
          <w:rFonts w:cstheme="minorHAnsi"/>
          <w:color w:val="000000"/>
          <w:szCs w:val="23"/>
        </w:rPr>
      </w:pPr>
      <w:r w:rsidRPr="008D5ED5">
        <w:rPr>
          <w:rFonts w:cstheme="minorHAnsi"/>
          <w:color w:val="000000"/>
          <w:szCs w:val="23"/>
        </w:rPr>
        <w:t>What practical and/or logistical obstacles does the organization face that impacts your ability to provide match</w:t>
      </w:r>
      <w:proofErr w:type="gramStart"/>
      <w:r w:rsidRPr="008D5ED5">
        <w:rPr>
          <w:rFonts w:cstheme="minorHAnsi"/>
          <w:color w:val="000000"/>
          <w:szCs w:val="23"/>
        </w:rPr>
        <w:t xml:space="preserve">? </w:t>
      </w:r>
      <w:proofErr w:type="gramEnd"/>
      <w:r w:rsidRPr="008D5ED5">
        <w:rPr>
          <w:rFonts w:cstheme="minorHAnsi"/>
          <w:i/>
          <w:color w:val="000000"/>
          <w:szCs w:val="23"/>
        </w:rPr>
        <w:t xml:space="preserve">(e.g., </w:t>
      </w:r>
      <w:r w:rsidRPr="008D5ED5">
        <w:rPr>
          <w:rFonts w:cstheme="minorHAnsi"/>
          <w:color w:val="000000"/>
          <w:szCs w:val="23"/>
        </w:rPr>
        <w:t>public agencies that do not engage in private fundraising and may have limitations on soliciting contributing funds);</w:t>
      </w:r>
    </w:p>
    <w:p w14:paraId="5459DF58" w14:textId="77777777" w:rsidR="008D5ED5" w:rsidRPr="008D5ED5" w:rsidRDefault="008D5ED5" w:rsidP="008D5ED5">
      <w:pPr>
        <w:numPr>
          <w:ilvl w:val="0"/>
          <w:numId w:val="5"/>
        </w:numPr>
        <w:autoSpaceDE w:val="0"/>
        <w:autoSpaceDN w:val="0"/>
        <w:adjustRightInd w:val="0"/>
        <w:spacing w:after="120"/>
        <w:rPr>
          <w:rFonts w:cstheme="minorHAnsi"/>
          <w:color w:val="000000"/>
          <w:szCs w:val="23"/>
        </w:rPr>
      </w:pPr>
      <w:r w:rsidRPr="008D5ED5">
        <w:rPr>
          <w:rFonts w:cstheme="minorHAnsi"/>
          <w:color w:val="000000"/>
          <w:szCs w:val="23"/>
        </w:rPr>
        <w:t>What local resource constraints does the organization face that impact your ability to provide match</w:t>
      </w:r>
      <w:proofErr w:type="gramStart"/>
      <w:r w:rsidRPr="008D5ED5">
        <w:rPr>
          <w:rFonts w:cstheme="minorHAnsi"/>
          <w:color w:val="000000"/>
          <w:szCs w:val="23"/>
        </w:rPr>
        <w:t xml:space="preserve">? </w:t>
      </w:r>
      <w:proofErr w:type="gramEnd"/>
      <w:r w:rsidRPr="008D5ED5">
        <w:rPr>
          <w:rFonts w:cstheme="minorHAnsi"/>
          <w:i/>
          <w:color w:val="000000"/>
          <w:szCs w:val="23"/>
        </w:rPr>
        <w:t xml:space="preserve">(e.g., </w:t>
      </w:r>
      <w:r w:rsidRPr="008D5ED5">
        <w:rPr>
          <w:rFonts w:cstheme="minorHAnsi"/>
          <w:color w:val="000000"/>
          <w:szCs w:val="23"/>
        </w:rPr>
        <w:t>rural community with limited local funding availability or volunteer capacity);</w:t>
      </w:r>
    </w:p>
    <w:p w14:paraId="16DA0970" w14:textId="77777777" w:rsidR="008D5ED5" w:rsidRPr="008D5ED5" w:rsidRDefault="008D5ED5" w:rsidP="008D5ED5">
      <w:pPr>
        <w:numPr>
          <w:ilvl w:val="0"/>
          <w:numId w:val="5"/>
        </w:numPr>
        <w:autoSpaceDE w:val="0"/>
        <w:autoSpaceDN w:val="0"/>
        <w:adjustRightInd w:val="0"/>
        <w:spacing w:after="120"/>
        <w:rPr>
          <w:rFonts w:cstheme="minorHAnsi"/>
          <w:color w:val="000000"/>
          <w:szCs w:val="23"/>
        </w:rPr>
      </w:pPr>
      <w:r w:rsidRPr="008D5ED5">
        <w:rPr>
          <w:rFonts w:cstheme="minorHAnsi"/>
          <w:color w:val="000000"/>
          <w:szCs w:val="23"/>
        </w:rPr>
        <w:t>How have increases to VOCA funding where local funding availability has not increased to the same degree impacted the organization's ability to provide match</w:t>
      </w:r>
      <w:proofErr w:type="gramStart"/>
      <w:r w:rsidRPr="008D5ED5">
        <w:rPr>
          <w:rFonts w:cstheme="minorHAnsi"/>
          <w:color w:val="000000"/>
          <w:szCs w:val="23"/>
        </w:rPr>
        <w:t xml:space="preserve">? </w:t>
      </w:r>
      <w:proofErr w:type="gramEnd"/>
      <w:r w:rsidRPr="008D5ED5">
        <w:rPr>
          <w:rFonts w:cstheme="minorHAnsi"/>
          <w:color w:val="000000"/>
          <w:szCs w:val="23"/>
        </w:rPr>
        <w:t>If this is the primary rationale for the match waiver, further explain the community's need(s) that led to a request for additional funding;</w:t>
      </w:r>
    </w:p>
    <w:p w14:paraId="45A8D8B1" w14:textId="77777777" w:rsidR="008D5ED5" w:rsidRPr="008D5ED5" w:rsidRDefault="008D5ED5" w:rsidP="008D5ED5">
      <w:pPr>
        <w:numPr>
          <w:ilvl w:val="0"/>
          <w:numId w:val="5"/>
        </w:numPr>
        <w:autoSpaceDE w:val="0"/>
        <w:autoSpaceDN w:val="0"/>
        <w:adjustRightInd w:val="0"/>
        <w:spacing w:after="120"/>
        <w:rPr>
          <w:rFonts w:cstheme="minorHAnsi"/>
          <w:color w:val="000000"/>
          <w:szCs w:val="23"/>
        </w:rPr>
      </w:pPr>
      <w:r w:rsidRPr="008D5ED5">
        <w:rPr>
          <w:rFonts w:cstheme="minorHAnsi"/>
          <w:color w:val="000000"/>
          <w:szCs w:val="23"/>
        </w:rPr>
        <w:t xml:space="preserve">What constraints does the agency face that have </w:t>
      </w:r>
      <w:r>
        <w:rPr>
          <w:rFonts w:cstheme="minorHAnsi"/>
          <w:color w:val="000000"/>
          <w:szCs w:val="23"/>
        </w:rPr>
        <w:t>impacted</w:t>
      </w:r>
      <w:r w:rsidRPr="008D5ED5">
        <w:rPr>
          <w:rFonts w:cstheme="minorHAnsi"/>
          <w:color w:val="000000"/>
          <w:szCs w:val="23"/>
        </w:rPr>
        <w:t xml:space="preserve"> their current ab</w:t>
      </w:r>
      <w:r w:rsidR="005D3546">
        <w:rPr>
          <w:rFonts w:cstheme="minorHAnsi"/>
          <w:color w:val="000000"/>
          <w:szCs w:val="23"/>
        </w:rPr>
        <w:t xml:space="preserve">ility to provide match </w:t>
      </w:r>
      <w:r w:rsidRPr="008D5ED5">
        <w:rPr>
          <w:rFonts w:cstheme="minorHAnsi"/>
          <w:color w:val="000000"/>
          <w:szCs w:val="23"/>
        </w:rPr>
        <w:t>at the sa</w:t>
      </w:r>
      <w:r w:rsidR="005D3546">
        <w:rPr>
          <w:rFonts w:cstheme="minorHAnsi"/>
          <w:color w:val="000000"/>
          <w:szCs w:val="23"/>
        </w:rPr>
        <w:t>me levels as previously provided</w:t>
      </w:r>
      <w:r w:rsidRPr="008D5ED5">
        <w:rPr>
          <w:rFonts w:cstheme="minorHAnsi"/>
          <w:color w:val="000000"/>
          <w:szCs w:val="23"/>
        </w:rPr>
        <w:t xml:space="preserve">? </w:t>
      </w:r>
    </w:p>
    <w:p w14:paraId="798DD151" w14:textId="1B86EDBB" w:rsidR="008D5ED5" w:rsidRPr="005D3546" w:rsidRDefault="008D5ED5">
      <w:pPr>
        <w:autoSpaceDE w:val="0"/>
        <w:autoSpaceDN w:val="0"/>
        <w:adjustRightInd w:val="0"/>
        <w:spacing w:after="120"/>
        <w:ind w:left="720"/>
        <w:rPr>
          <w:rFonts w:cstheme="minorHAnsi"/>
          <w:color w:val="000000"/>
          <w:sz w:val="20"/>
          <w:szCs w:val="23"/>
        </w:rPr>
      </w:pPr>
      <w:r w:rsidRPr="005D3546">
        <w:rPr>
          <w:rFonts w:cstheme="minorHAnsi"/>
          <w:b/>
          <w:color w:val="000000"/>
          <w:sz w:val="20"/>
          <w:szCs w:val="23"/>
        </w:rPr>
        <w:t>NOTE</w:t>
      </w:r>
      <w:r w:rsidRPr="005D3546">
        <w:rPr>
          <w:rFonts w:cstheme="minorHAnsi"/>
          <w:color w:val="000000"/>
          <w:sz w:val="20"/>
          <w:szCs w:val="23"/>
        </w:rPr>
        <w:t>: The GCC and OVC generally expect subrecipients to provide at least the same dollar amount of match it provided during the grant year immediately preceding the year of the waiver request unless a change in circumstances justifies a lower amount</w:t>
      </w:r>
    </w:p>
    <w:p w14:paraId="50A41A85" w14:textId="77777777" w:rsidR="008D5ED5" w:rsidRPr="008D5ED5" w:rsidRDefault="008D5ED5" w:rsidP="008D5ED5">
      <w:pPr>
        <w:numPr>
          <w:ilvl w:val="0"/>
          <w:numId w:val="5"/>
        </w:numPr>
        <w:autoSpaceDE w:val="0"/>
        <w:autoSpaceDN w:val="0"/>
        <w:adjustRightInd w:val="0"/>
        <w:spacing w:after="120"/>
        <w:rPr>
          <w:rFonts w:cstheme="minorHAnsi"/>
          <w:color w:val="000000"/>
          <w:szCs w:val="23"/>
        </w:rPr>
      </w:pPr>
      <w:r w:rsidRPr="008D5ED5">
        <w:rPr>
          <w:rFonts w:cstheme="minorHAnsi"/>
          <w:color w:val="000000"/>
          <w:szCs w:val="23"/>
        </w:rPr>
        <w:lastRenderedPageBreak/>
        <w:t>What steps has the organization taken to meet match requirements and/or to identify ad</w:t>
      </w:r>
      <w:r w:rsidR="005D3546">
        <w:rPr>
          <w:rFonts w:cstheme="minorHAnsi"/>
          <w:color w:val="000000"/>
          <w:szCs w:val="23"/>
        </w:rPr>
        <w:t>ditional resources</w:t>
      </w:r>
      <w:r w:rsidRPr="008D5ED5">
        <w:rPr>
          <w:rFonts w:cstheme="minorHAnsi"/>
          <w:color w:val="000000"/>
          <w:szCs w:val="23"/>
        </w:rPr>
        <w:t xml:space="preserve"> that might be used to </w:t>
      </w:r>
      <w:r w:rsidR="005D3546">
        <w:rPr>
          <w:rFonts w:cstheme="minorHAnsi"/>
          <w:color w:val="000000"/>
          <w:szCs w:val="23"/>
        </w:rPr>
        <w:t>provide</w:t>
      </w:r>
      <w:r w:rsidRPr="008D5ED5">
        <w:rPr>
          <w:rFonts w:cstheme="minorHAnsi"/>
          <w:color w:val="000000"/>
          <w:szCs w:val="23"/>
        </w:rPr>
        <w:t xml:space="preserve"> match?</w:t>
      </w:r>
    </w:p>
    <w:p w14:paraId="429A312A" w14:textId="77777777" w:rsidR="005D3546" w:rsidRDefault="008D5ED5" w:rsidP="00E930D4">
      <w:pPr>
        <w:numPr>
          <w:ilvl w:val="0"/>
          <w:numId w:val="5"/>
        </w:numPr>
        <w:autoSpaceDE w:val="0"/>
        <w:autoSpaceDN w:val="0"/>
        <w:adjustRightInd w:val="0"/>
        <w:spacing w:after="120"/>
        <w:rPr>
          <w:rFonts w:cstheme="minorHAnsi"/>
          <w:color w:val="000000"/>
          <w:szCs w:val="23"/>
        </w:rPr>
      </w:pPr>
      <w:r w:rsidRPr="005D3546">
        <w:rPr>
          <w:rFonts w:cstheme="minorHAnsi"/>
          <w:color w:val="000000"/>
          <w:szCs w:val="23"/>
        </w:rPr>
        <w:t>How would the denial of a match waiver impact the VOCA</w:t>
      </w:r>
      <w:r w:rsidR="005D3546" w:rsidRPr="005D3546">
        <w:rPr>
          <w:rFonts w:cstheme="minorHAnsi"/>
          <w:color w:val="000000"/>
          <w:szCs w:val="23"/>
        </w:rPr>
        <w:t>-funded</w:t>
      </w:r>
      <w:r w:rsidRPr="005D3546">
        <w:rPr>
          <w:rFonts w:cstheme="minorHAnsi"/>
          <w:color w:val="000000"/>
          <w:szCs w:val="23"/>
        </w:rPr>
        <w:t xml:space="preserve"> project</w:t>
      </w:r>
      <w:proofErr w:type="gramStart"/>
      <w:r w:rsidRPr="005D3546">
        <w:rPr>
          <w:rFonts w:cstheme="minorHAnsi"/>
          <w:color w:val="000000"/>
          <w:szCs w:val="23"/>
        </w:rPr>
        <w:t xml:space="preserve">? </w:t>
      </w:r>
      <w:proofErr w:type="gramEnd"/>
      <w:r w:rsidRPr="005D3546">
        <w:rPr>
          <w:rFonts w:cstheme="minorHAnsi"/>
          <w:color w:val="000000"/>
          <w:szCs w:val="23"/>
        </w:rPr>
        <w:t>Would the organization not be able to accept the grant without a match waiver?</w:t>
      </w:r>
    </w:p>
    <w:p w14:paraId="305CF1B9" w14:textId="77777777" w:rsidR="005D3546" w:rsidRPr="005D3546" w:rsidRDefault="005D3546" w:rsidP="005D3546">
      <w:pPr>
        <w:autoSpaceDE w:val="0"/>
        <w:autoSpaceDN w:val="0"/>
        <w:adjustRightInd w:val="0"/>
        <w:spacing w:after="120"/>
        <w:rPr>
          <w:rFonts w:cstheme="minorHAnsi"/>
          <w:color w:val="000000"/>
          <w:szCs w:val="23"/>
        </w:rPr>
      </w:pPr>
      <w:r w:rsidRPr="005D3546">
        <w:rPr>
          <w:rFonts w:cstheme="minorHAnsi"/>
          <w:color w:val="000000"/>
          <w:szCs w:val="23"/>
        </w:rPr>
        <w:t>Please include a completed table in your request with the following information for each project:</w:t>
      </w:r>
    </w:p>
    <w:p w14:paraId="78B21B66" w14:textId="77777777" w:rsidR="005D3546" w:rsidRPr="00AF41BD" w:rsidRDefault="005D3546" w:rsidP="005D3546">
      <w:pPr>
        <w:pStyle w:val="ListParagraph"/>
        <w:jc w:val="center"/>
        <w:rPr>
          <w:szCs w:val="24"/>
          <w:u w:val="single"/>
        </w:rPr>
      </w:pPr>
      <w:r w:rsidRPr="00AF41BD">
        <w:rPr>
          <w:szCs w:val="24"/>
          <w:u w:val="single"/>
        </w:rPr>
        <w:t>Current Application Match Waiver Request</w:t>
      </w:r>
    </w:p>
    <w:tbl>
      <w:tblPr>
        <w:tblStyle w:val="TableGrid"/>
        <w:tblW w:w="9545" w:type="dxa"/>
        <w:jc w:val="center"/>
        <w:tblLook w:val="04A0" w:firstRow="1" w:lastRow="0" w:firstColumn="1" w:lastColumn="0" w:noHBand="0" w:noVBand="1"/>
      </w:tblPr>
      <w:tblGrid>
        <w:gridCol w:w="2065"/>
        <w:gridCol w:w="1870"/>
        <w:gridCol w:w="1870"/>
        <w:gridCol w:w="1870"/>
        <w:gridCol w:w="1870"/>
      </w:tblGrid>
      <w:tr w:rsidR="005D3546" w:rsidRPr="00AF41BD" w14:paraId="35303BEA" w14:textId="77777777" w:rsidTr="00E930D4">
        <w:trPr>
          <w:cantSplit/>
          <w:jc w:val="center"/>
        </w:trPr>
        <w:tc>
          <w:tcPr>
            <w:tcW w:w="2065" w:type="dxa"/>
            <w:vMerge w:val="restart"/>
          </w:tcPr>
          <w:p w14:paraId="63D2060C" w14:textId="77777777" w:rsidR="005D3546" w:rsidRPr="00AF41BD" w:rsidRDefault="005D3546" w:rsidP="00E930D4">
            <w:pPr>
              <w:pStyle w:val="ListParagraph"/>
              <w:ind w:left="0"/>
              <w:rPr>
                <w:sz w:val="20"/>
              </w:rPr>
            </w:pPr>
            <w:r w:rsidRPr="00AF41BD">
              <w:rPr>
                <w:sz w:val="20"/>
              </w:rPr>
              <w:t>Project Number</w:t>
            </w:r>
          </w:p>
        </w:tc>
        <w:tc>
          <w:tcPr>
            <w:tcW w:w="1870" w:type="dxa"/>
            <w:vMerge w:val="restart"/>
          </w:tcPr>
          <w:p w14:paraId="0B3EED14" w14:textId="77777777" w:rsidR="005D3546" w:rsidRPr="00AF41BD" w:rsidRDefault="005D3546" w:rsidP="00E930D4">
            <w:pPr>
              <w:pStyle w:val="ListParagraph"/>
              <w:ind w:left="0"/>
              <w:rPr>
                <w:sz w:val="20"/>
              </w:rPr>
            </w:pPr>
            <w:r w:rsidRPr="00AF41BD">
              <w:rPr>
                <w:sz w:val="20"/>
              </w:rPr>
              <w:t>Federal Share</w:t>
            </w:r>
          </w:p>
        </w:tc>
        <w:tc>
          <w:tcPr>
            <w:tcW w:w="1870" w:type="dxa"/>
            <w:vMerge w:val="restart"/>
          </w:tcPr>
          <w:p w14:paraId="0819CF44" w14:textId="77777777" w:rsidR="005D3546" w:rsidRPr="00AF41BD" w:rsidRDefault="005D3546" w:rsidP="00E930D4">
            <w:pPr>
              <w:pStyle w:val="ListParagraph"/>
              <w:ind w:left="0"/>
              <w:rPr>
                <w:sz w:val="20"/>
              </w:rPr>
            </w:pPr>
            <w:r w:rsidRPr="00AF41BD">
              <w:rPr>
                <w:sz w:val="20"/>
              </w:rPr>
              <w:t>Match Share ($) (Current Budget)</w:t>
            </w:r>
          </w:p>
        </w:tc>
        <w:tc>
          <w:tcPr>
            <w:tcW w:w="3740" w:type="dxa"/>
            <w:gridSpan w:val="2"/>
          </w:tcPr>
          <w:p w14:paraId="6131239E" w14:textId="77777777" w:rsidR="005D3546" w:rsidRPr="00AF41BD" w:rsidRDefault="005D3546" w:rsidP="00E930D4">
            <w:pPr>
              <w:pStyle w:val="ListParagraph"/>
              <w:ind w:left="0"/>
              <w:jc w:val="center"/>
              <w:rPr>
                <w:sz w:val="20"/>
              </w:rPr>
            </w:pPr>
            <w:r w:rsidRPr="00AF41BD">
              <w:rPr>
                <w:sz w:val="20"/>
              </w:rPr>
              <w:t>Match Waiver Request ($)</w:t>
            </w:r>
          </w:p>
        </w:tc>
      </w:tr>
      <w:tr w:rsidR="005D3546" w:rsidRPr="00AF41BD" w14:paraId="6A007AFE" w14:textId="77777777" w:rsidTr="00E930D4">
        <w:trPr>
          <w:cantSplit/>
          <w:jc w:val="center"/>
        </w:trPr>
        <w:tc>
          <w:tcPr>
            <w:tcW w:w="2065" w:type="dxa"/>
            <w:vMerge/>
          </w:tcPr>
          <w:p w14:paraId="16775FD8" w14:textId="77777777" w:rsidR="005D3546" w:rsidRPr="00AF41BD" w:rsidRDefault="005D3546" w:rsidP="00E930D4">
            <w:pPr>
              <w:pStyle w:val="ListParagraph"/>
              <w:ind w:left="0"/>
              <w:rPr>
                <w:sz w:val="20"/>
              </w:rPr>
            </w:pPr>
          </w:p>
        </w:tc>
        <w:tc>
          <w:tcPr>
            <w:tcW w:w="1870" w:type="dxa"/>
            <w:vMerge/>
          </w:tcPr>
          <w:p w14:paraId="7CA4A128" w14:textId="77777777" w:rsidR="005D3546" w:rsidRPr="00AF41BD" w:rsidRDefault="005D3546" w:rsidP="00E930D4">
            <w:pPr>
              <w:pStyle w:val="ListParagraph"/>
              <w:ind w:left="0"/>
              <w:rPr>
                <w:sz w:val="20"/>
              </w:rPr>
            </w:pPr>
          </w:p>
        </w:tc>
        <w:tc>
          <w:tcPr>
            <w:tcW w:w="1870" w:type="dxa"/>
            <w:vMerge/>
          </w:tcPr>
          <w:p w14:paraId="52C76481" w14:textId="77777777" w:rsidR="005D3546" w:rsidRPr="00AF41BD" w:rsidRDefault="005D3546" w:rsidP="00E930D4">
            <w:pPr>
              <w:pStyle w:val="ListParagraph"/>
              <w:ind w:left="0"/>
              <w:rPr>
                <w:sz w:val="20"/>
              </w:rPr>
            </w:pPr>
          </w:p>
        </w:tc>
        <w:tc>
          <w:tcPr>
            <w:tcW w:w="1870" w:type="dxa"/>
          </w:tcPr>
          <w:p w14:paraId="46679522" w14:textId="77777777" w:rsidR="005D3546" w:rsidRPr="00AF41BD" w:rsidRDefault="005D3546" w:rsidP="00E930D4">
            <w:pPr>
              <w:pStyle w:val="ListParagraph"/>
              <w:ind w:left="0"/>
              <w:rPr>
                <w:sz w:val="20"/>
              </w:rPr>
            </w:pPr>
            <w:r w:rsidRPr="00AF41BD">
              <w:rPr>
                <w:sz w:val="20"/>
              </w:rPr>
              <w:t xml:space="preserve">Cash Match </w:t>
            </w:r>
          </w:p>
          <w:p w14:paraId="0ED12540" w14:textId="77777777" w:rsidR="005D3546" w:rsidRPr="00AF41BD" w:rsidRDefault="005D3546" w:rsidP="00E930D4">
            <w:pPr>
              <w:pStyle w:val="ListParagraph"/>
              <w:ind w:left="0"/>
              <w:rPr>
                <w:sz w:val="20"/>
              </w:rPr>
            </w:pPr>
            <w:r w:rsidRPr="00AF41BD">
              <w:rPr>
                <w:sz w:val="20"/>
              </w:rPr>
              <w:t>Waiver Amt ($)</w:t>
            </w:r>
          </w:p>
        </w:tc>
        <w:tc>
          <w:tcPr>
            <w:tcW w:w="1870" w:type="dxa"/>
          </w:tcPr>
          <w:p w14:paraId="088ED14F" w14:textId="77777777" w:rsidR="005D3546" w:rsidRPr="00AF41BD" w:rsidRDefault="005D3546" w:rsidP="00E930D4">
            <w:pPr>
              <w:pStyle w:val="ListParagraph"/>
              <w:ind w:left="0"/>
              <w:rPr>
                <w:sz w:val="20"/>
              </w:rPr>
            </w:pPr>
            <w:r w:rsidRPr="00AF41BD">
              <w:rPr>
                <w:sz w:val="20"/>
              </w:rPr>
              <w:t>In-Kind Match Waiver Amt ($)</w:t>
            </w:r>
          </w:p>
        </w:tc>
      </w:tr>
      <w:tr w:rsidR="005D3546" w:rsidRPr="00AF41BD" w14:paraId="7AEC5AD0" w14:textId="77777777" w:rsidTr="00E930D4">
        <w:trPr>
          <w:cantSplit/>
          <w:jc w:val="center"/>
        </w:trPr>
        <w:tc>
          <w:tcPr>
            <w:tcW w:w="2065" w:type="dxa"/>
          </w:tcPr>
          <w:p w14:paraId="2F7B646D" w14:textId="77777777" w:rsidR="00F522BB" w:rsidRDefault="005D3546" w:rsidP="00E930D4">
            <w:pPr>
              <w:pStyle w:val="ListParagraph"/>
              <w:ind w:left="0"/>
              <w:rPr>
                <w:sz w:val="20"/>
              </w:rPr>
            </w:pPr>
            <w:r w:rsidRPr="00AF41BD">
              <w:rPr>
                <w:sz w:val="20"/>
              </w:rPr>
              <w:t xml:space="preserve">Example: </w:t>
            </w:r>
          </w:p>
          <w:p w14:paraId="2BC870A2" w14:textId="77777777" w:rsidR="005D3546" w:rsidRPr="00AF41BD" w:rsidRDefault="005D3546" w:rsidP="00E930D4">
            <w:pPr>
              <w:pStyle w:val="ListParagraph"/>
              <w:ind w:left="0"/>
              <w:rPr>
                <w:sz w:val="20"/>
              </w:rPr>
            </w:pPr>
            <w:r w:rsidRPr="00AF41BD">
              <w:rPr>
                <w:sz w:val="20"/>
              </w:rPr>
              <w:t>PROJ12345</w:t>
            </w:r>
          </w:p>
        </w:tc>
        <w:tc>
          <w:tcPr>
            <w:tcW w:w="1870" w:type="dxa"/>
          </w:tcPr>
          <w:p w14:paraId="4395B1D2" w14:textId="77777777" w:rsidR="005D3546" w:rsidRPr="00AF41BD" w:rsidRDefault="005D3546" w:rsidP="00E930D4">
            <w:pPr>
              <w:pStyle w:val="ListParagraph"/>
              <w:ind w:left="0"/>
              <w:rPr>
                <w:sz w:val="20"/>
              </w:rPr>
            </w:pPr>
          </w:p>
          <w:p w14:paraId="60D39D41" w14:textId="77777777" w:rsidR="005D3546" w:rsidRPr="00AF41BD" w:rsidRDefault="005D3546" w:rsidP="00E930D4">
            <w:pPr>
              <w:pStyle w:val="ListParagraph"/>
              <w:ind w:left="0"/>
              <w:rPr>
                <w:sz w:val="20"/>
              </w:rPr>
            </w:pPr>
            <w:r w:rsidRPr="00AF41BD">
              <w:rPr>
                <w:sz w:val="20"/>
              </w:rPr>
              <w:t>100,000</w:t>
            </w:r>
          </w:p>
        </w:tc>
        <w:tc>
          <w:tcPr>
            <w:tcW w:w="1870" w:type="dxa"/>
          </w:tcPr>
          <w:p w14:paraId="3144A9E5" w14:textId="77777777" w:rsidR="005D3546" w:rsidRPr="00AF41BD" w:rsidRDefault="005D3546" w:rsidP="00E930D4">
            <w:pPr>
              <w:pStyle w:val="ListParagraph"/>
              <w:ind w:left="0"/>
              <w:rPr>
                <w:sz w:val="20"/>
              </w:rPr>
            </w:pPr>
          </w:p>
          <w:p w14:paraId="32368385" w14:textId="77777777" w:rsidR="005D3546" w:rsidRPr="00AF41BD" w:rsidRDefault="00F522BB" w:rsidP="00E930D4">
            <w:pPr>
              <w:pStyle w:val="ListParagraph"/>
              <w:ind w:left="0"/>
              <w:rPr>
                <w:sz w:val="20"/>
              </w:rPr>
            </w:pPr>
            <w:r>
              <w:rPr>
                <w:sz w:val="20"/>
              </w:rPr>
              <w:t>20</w:t>
            </w:r>
            <w:r w:rsidR="005D3546" w:rsidRPr="00AF41BD">
              <w:rPr>
                <w:sz w:val="20"/>
              </w:rPr>
              <w:t>,000</w:t>
            </w:r>
          </w:p>
        </w:tc>
        <w:tc>
          <w:tcPr>
            <w:tcW w:w="1870" w:type="dxa"/>
          </w:tcPr>
          <w:p w14:paraId="70604A2C" w14:textId="77777777" w:rsidR="005D3546" w:rsidRPr="00AF41BD" w:rsidRDefault="005D3546" w:rsidP="00E930D4">
            <w:pPr>
              <w:pStyle w:val="ListParagraph"/>
              <w:ind w:left="0"/>
              <w:rPr>
                <w:sz w:val="20"/>
              </w:rPr>
            </w:pPr>
          </w:p>
          <w:p w14:paraId="390A776A" w14:textId="77777777" w:rsidR="005D3546" w:rsidRPr="00AF41BD" w:rsidRDefault="005D3546" w:rsidP="00E930D4">
            <w:pPr>
              <w:pStyle w:val="ListParagraph"/>
              <w:ind w:left="0"/>
              <w:rPr>
                <w:sz w:val="20"/>
              </w:rPr>
            </w:pPr>
            <w:r w:rsidRPr="00AF41BD">
              <w:rPr>
                <w:sz w:val="20"/>
              </w:rPr>
              <w:t>5,000</w:t>
            </w:r>
          </w:p>
        </w:tc>
        <w:tc>
          <w:tcPr>
            <w:tcW w:w="1870" w:type="dxa"/>
          </w:tcPr>
          <w:p w14:paraId="6193FA0B" w14:textId="77777777" w:rsidR="005D3546" w:rsidRPr="00AF41BD" w:rsidRDefault="005D3546" w:rsidP="00E930D4">
            <w:pPr>
              <w:pStyle w:val="ListParagraph"/>
              <w:ind w:left="0"/>
              <w:rPr>
                <w:sz w:val="20"/>
              </w:rPr>
            </w:pPr>
          </w:p>
          <w:p w14:paraId="04EC5E5A" w14:textId="77777777" w:rsidR="005D3546" w:rsidRPr="00AF41BD" w:rsidRDefault="00F522BB" w:rsidP="00E930D4">
            <w:pPr>
              <w:pStyle w:val="ListParagraph"/>
              <w:ind w:left="0"/>
              <w:rPr>
                <w:sz w:val="20"/>
              </w:rPr>
            </w:pPr>
            <w:r>
              <w:rPr>
                <w:sz w:val="20"/>
              </w:rPr>
              <w:t>15</w:t>
            </w:r>
            <w:r w:rsidR="005D3546" w:rsidRPr="00AF41BD">
              <w:rPr>
                <w:sz w:val="20"/>
              </w:rPr>
              <w:t>,000</w:t>
            </w:r>
          </w:p>
        </w:tc>
      </w:tr>
      <w:tr w:rsidR="005D3546" w:rsidRPr="00AF41BD" w14:paraId="56CDBC1E" w14:textId="77777777" w:rsidTr="00E930D4">
        <w:trPr>
          <w:cantSplit/>
          <w:jc w:val="center"/>
        </w:trPr>
        <w:tc>
          <w:tcPr>
            <w:tcW w:w="2065" w:type="dxa"/>
          </w:tcPr>
          <w:p w14:paraId="5864DFA3" w14:textId="77777777" w:rsidR="005D3546" w:rsidRPr="00AF41BD" w:rsidRDefault="005D3546" w:rsidP="00E930D4">
            <w:pPr>
              <w:pStyle w:val="ListParagraph"/>
              <w:ind w:left="0"/>
              <w:rPr>
                <w:sz w:val="20"/>
              </w:rPr>
            </w:pPr>
          </w:p>
        </w:tc>
        <w:tc>
          <w:tcPr>
            <w:tcW w:w="1870" w:type="dxa"/>
          </w:tcPr>
          <w:p w14:paraId="30E456A5" w14:textId="77777777" w:rsidR="005D3546" w:rsidRPr="00AF41BD" w:rsidRDefault="005D3546" w:rsidP="00E930D4">
            <w:pPr>
              <w:pStyle w:val="ListParagraph"/>
              <w:ind w:left="0"/>
              <w:rPr>
                <w:sz w:val="20"/>
              </w:rPr>
            </w:pPr>
          </w:p>
        </w:tc>
        <w:tc>
          <w:tcPr>
            <w:tcW w:w="1870" w:type="dxa"/>
          </w:tcPr>
          <w:p w14:paraId="42DCB708" w14:textId="77777777" w:rsidR="005D3546" w:rsidRPr="00AF41BD" w:rsidRDefault="005D3546" w:rsidP="00E930D4">
            <w:pPr>
              <w:pStyle w:val="ListParagraph"/>
              <w:ind w:left="0"/>
              <w:rPr>
                <w:sz w:val="20"/>
              </w:rPr>
            </w:pPr>
          </w:p>
        </w:tc>
        <w:tc>
          <w:tcPr>
            <w:tcW w:w="1870" w:type="dxa"/>
          </w:tcPr>
          <w:p w14:paraId="28668580" w14:textId="77777777" w:rsidR="005D3546" w:rsidRPr="00AF41BD" w:rsidRDefault="005D3546" w:rsidP="00E930D4">
            <w:pPr>
              <w:pStyle w:val="ListParagraph"/>
              <w:ind w:left="0"/>
              <w:rPr>
                <w:sz w:val="20"/>
              </w:rPr>
            </w:pPr>
          </w:p>
        </w:tc>
        <w:tc>
          <w:tcPr>
            <w:tcW w:w="1870" w:type="dxa"/>
          </w:tcPr>
          <w:p w14:paraId="001C3FF1" w14:textId="77777777" w:rsidR="005D3546" w:rsidRPr="00AF41BD" w:rsidRDefault="005D3546" w:rsidP="00E930D4">
            <w:pPr>
              <w:pStyle w:val="ListParagraph"/>
              <w:ind w:left="0"/>
              <w:rPr>
                <w:sz w:val="20"/>
              </w:rPr>
            </w:pPr>
          </w:p>
        </w:tc>
      </w:tr>
    </w:tbl>
    <w:p w14:paraId="2DB6B440" w14:textId="77777777" w:rsidR="005D3546" w:rsidRPr="008D5ED5" w:rsidRDefault="005D3546" w:rsidP="005D3546">
      <w:pPr>
        <w:autoSpaceDE w:val="0"/>
        <w:autoSpaceDN w:val="0"/>
        <w:adjustRightInd w:val="0"/>
        <w:spacing w:after="120"/>
        <w:rPr>
          <w:rFonts w:cstheme="minorHAnsi"/>
          <w:color w:val="000000"/>
          <w:szCs w:val="23"/>
        </w:rPr>
      </w:pPr>
    </w:p>
    <w:p w14:paraId="552DCBF2" w14:textId="77777777" w:rsidR="008D5ED5" w:rsidRDefault="005D3546" w:rsidP="007973BA">
      <w:r>
        <w:t>Additionally, please state whether your organization has previously received a waiver of match for VOCA-funded projects in the last two years, and provide a table with the following information:</w:t>
      </w:r>
    </w:p>
    <w:p w14:paraId="58F5F4CE" w14:textId="77777777" w:rsidR="005D3546" w:rsidRPr="00AF41BD" w:rsidRDefault="005D3546" w:rsidP="005D3546">
      <w:pPr>
        <w:pStyle w:val="ListParagraph"/>
        <w:jc w:val="center"/>
        <w:rPr>
          <w:szCs w:val="24"/>
          <w:u w:val="single"/>
        </w:rPr>
      </w:pPr>
      <w:r w:rsidRPr="00AF41BD">
        <w:rPr>
          <w:szCs w:val="24"/>
          <w:u w:val="single"/>
        </w:rPr>
        <w:t>Prior Years Match Waivers Granted</w:t>
      </w:r>
    </w:p>
    <w:tbl>
      <w:tblPr>
        <w:tblStyle w:val="TableGrid"/>
        <w:tblW w:w="0" w:type="auto"/>
        <w:tblLook w:val="04A0" w:firstRow="1" w:lastRow="0" w:firstColumn="1" w:lastColumn="0" w:noHBand="0" w:noVBand="1"/>
      </w:tblPr>
      <w:tblGrid>
        <w:gridCol w:w="1558"/>
        <w:gridCol w:w="1558"/>
        <w:gridCol w:w="1558"/>
        <w:gridCol w:w="1558"/>
        <w:gridCol w:w="1559"/>
        <w:gridCol w:w="1559"/>
      </w:tblGrid>
      <w:tr w:rsidR="005D3546" w:rsidRPr="00AF41BD" w14:paraId="7DF0AB91" w14:textId="77777777" w:rsidTr="00E930D4">
        <w:tc>
          <w:tcPr>
            <w:tcW w:w="1558" w:type="dxa"/>
          </w:tcPr>
          <w:p w14:paraId="6EBD6045" w14:textId="77777777" w:rsidR="005D3546" w:rsidRPr="00AF41BD" w:rsidRDefault="005D3546" w:rsidP="00E930D4">
            <w:pPr>
              <w:pStyle w:val="ListParagraph"/>
              <w:ind w:left="0"/>
              <w:rPr>
                <w:sz w:val="20"/>
                <w:szCs w:val="24"/>
              </w:rPr>
            </w:pPr>
            <w:r w:rsidRPr="00AF41BD">
              <w:rPr>
                <w:sz w:val="20"/>
                <w:szCs w:val="24"/>
              </w:rPr>
              <w:t>Project Number</w:t>
            </w:r>
          </w:p>
        </w:tc>
        <w:tc>
          <w:tcPr>
            <w:tcW w:w="1558" w:type="dxa"/>
          </w:tcPr>
          <w:p w14:paraId="7223244F" w14:textId="77777777" w:rsidR="005D3546" w:rsidRPr="00AF41BD" w:rsidRDefault="005D3546" w:rsidP="00E930D4">
            <w:pPr>
              <w:pStyle w:val="ListParagraph"/>
              <w:ind w:left="0"/>
              <w:rPr>
                <w:sz w:val="20"/>
                <w:szCs w:val="24"/>
              </w:rPr>
            </w:pPr>
            <w:r w:rsidRPr="00AF41BD">
              <w:rPr>
                <w:sz w:val="20"/>
                <w:szCs w:val="24"/>
              </w:rPr>
              <w:t>Start Date</w:t>
            </w:r>
          </w:p>
        </w:tc>
        <w:tc>
          <w:tcPr>
            <w:tcW w:w="1558" w:type="dxa"/>
          </w:tcPr>
          <w:p w14:paraId="4934E49B" w14:textId="77777777" w:rsidR="005D3546" w:rsidRPr="00AF41BD" w:rsidRDefault="005D3546" w:rsidP="00E930D4">
            <w:pPr>
              <w:pStyle w:val="ListParagraph"/>
              <w:ind w:left="0"/>
              <w:rPr>
                <w:sz w:val="20"/>
                <w:szCs w:val="24"/>
              </w:rPr>
            </w:pPr>
            <w:r w:rsidRPr="00AF41BD">
              <w:rPr>
                <w:sz w:val="20"/>
                <w:szCs w:val="24"/>
              </w:rPr>
              <w:t>End Date</w:t>
            </w:r>
          </w:p>
        </w:tc>
        <w:tc>
          <w:tcPr>
            <w:tcW w:w="1558" w:type="dxa"/>
          </w:tcPr>
          <w:p w14:paraId="0D32FC88" w14:textId="77777777" w:rsidR="005D3546" w:rsidRPr="00AF41BD" w:rsidRDefault="005D3546" w:rsidP="00E930D4">
            <w:pPr>
              <w:pStyle w:val="ListParagraph"/>
              <w:ind w:left="0"/>
              <w:rPr>
                <w:sz w:val="20"/>
                <w:szCs w:val="24"/>
              </w:rPr>
            </w:pPr>
            <w:r w:rsidRPr="00AF41BD">
              <w:rPr>
                <w:sz w:val="20"/>
                <w:szCs w:val="24"/>
              </w:rPr>
              <w:t>Federal Share</w:t>
            </w:r>
          </w:p>
        </w:tc>
        <w:tc>
          <w:tcPr>
            <w:tcW w:w="1559" w:type="dxa"/>
          </w:tcPr>
          <w:p w14:paraId="780EA84C" w14:textId="5E5D232B" w:rsidR="005D3546" w:rsidRPr="00AF41BD" w:rsidRDefault="005D3546" w:rsidP="00E930D4">
            <w:pPr>
              <w:pStyle w:val="ListParagraph"/>
              <w:ind w:left="0"/>
              <w:rPr>
                <w:sz w:val="20"/>
                <w:szCs w:val="24"/>
              </w:rPr>
            </w:pPr>
            <w:r w:rsidRPr="00AF41BD">
              <w:rPr>
                <w:sz w:val="20"/>
                <w:szCs w:val="24"/>
              </w:rPr>
              <w:t>Match Share – pre waiver budget ($)</w:t>
            </w:r>
          </w:p>
        </w:tc>
        <w:tc>
          <w:tcPr>
            <w:tcW w:w="1559" w:type="dxa"/>
          </w:tcPr>
          <w:p w14:paraId="655B62F8" w14:textId="77777777" w:rsidR="005D3546" w:rsidRPr="00AF41BD" w:rsidRDefault="005D3546" w:rsidP="00E930D4">
            <w:pPr>
              <w:pStyle w:val="ListParagraph"/>
              <w:ind w:left="0"/>
              <w:rPr>
                <w:sz w:val="20"/>
                <w:szCs w:val="24"/>
              </w:rPr>
            </w:pPr>
            <w:r w:rsidRPr="00AF41BD">
              <w:rPr>
                <w:sz w:val="20"/>
                <w:szCs w:val="24"/>
              </w:rPr>
              <w:t>Match Waived ($)</w:t>
            </w:r>
          </w:p>
        </w:tc>
      </w:tr>
      <w:tr w:rsidR="005D3546" w:rsidRPr="00AF41BD" w14:paraId="79553CE7" w14:textId="77777777" w:rsidTr="00E930D4">
        <w:tc>
          <w:tcPr>
            <w:tcW w:w="1558" w:type="dxa"/>
          </w:tcPr>
          <w:p w14:paraId="14F2D3F6" w14:textId="77777777" w:rsidR="005D3546" w:rsidRPr="00AF41BD" w:rsidRDefault="005D3546" w:rsidP="00E930D4">
            <w:pPr>
              <w:pStyle w:val="ListParagraph"/>
              <w:ind w:left="0"/>
              <w:rPr>
                <w:sz w:val="20"/>
                <w:szCs w:val="24"/>
              </w:rPr>
            </w:pPr>
          </w:p>
        </w:tc>
        <w:tc>
          <w:tcPr>
            <w:tcW w:w="1558" w:type="dxa"/>
          </w:tcPr>
          <w:p w14:paraId="42BA48A1" w14:textId="77777777" w:rsidR="005D3546" w:rsidRPr="00AF41BD" w:rsidRDefault="005D3546" w:rsidP="00E930D4">
            <w:pPr>
              <w:pStyle w:val="ListParagraph"/>
              <w:ind w:left="0"/>
              <w:rPr>
                <w:sz w:val="20"/>
                <w:szCs w:val="24"/>
              </w:rPr>
            </w:pPr>
          </w:p>
        </w:tc>
        <w:tc>
          <w:tcPr>
            <w:tcW w:w="1558" w:type="dxa"/>
          </w:tcPr>
          <w:p w14:paraId="7F810E2B" w14:textId="77777777" w:rsidR="005D3546" w:rsidRPr="00AF41BD" w:rsidRDefault="005D3546" w:rsidP="00E930D4">
            <w:pPr>
              <w:pStyle w:val="ListParagraph"/>
              <w:ind w:left="0"/>
              <w:rPr>
                <w:sz w:val="20"/>
                <w:szCs w:val="24"/>
              </w:rPr>
            </w:pPr>
          </w:p>
        </w:tc>
        <w:tc>
          <w:tcPr>
            <w:tcW w:w="1558" w:type="dxa"/>
          </w:tcPr>
          <w:p w14:paraId="150984FB" w14:textId="77777777" w:rsidR="005D3546" w:rsidRPr="00AF41BD" w:rsidRDefault="005D3546" w:rsidP="00E930D4">
            <w:pPr>
              <w:pStyle w:val="ListParagraph"/>
              <w:ind w:left="0"/>
              <w:rPr>
                <w:sz w:val="20"/>
                <w:szCs w:val="24"/>
              </w:rPr>
            </w:pPr>
          </w:p>
        </w:tc>
        <w:tc>
          <w:tcPr>
            <w:tcW w:w="1559" w:type="dxa"/>
          </w:tcPr>
          <w:p w14:paraId="293F4051" w14:textId="77777777" w:rsidR="005D3546" w:rsidRPr="00AF41BD" w:rsidRDefault="005D3546" w:rsidP="00E930D4">
            <w:pPr>
              <w:pStyle w:val="ListParagraph"/>
              <w:ind w:left="0"/>
              <w:rPr>
                <w:sz w:val="20"/>
                <w:szCs w:val="24"/>
              </w:rPr>
            </w:pPr>
          </w:p>
        </w:tc>
        <w:tc>
          <w:tcPr>
            <w:tcW w:w="1559" w:type="dxa"/>
          </w:tcPr>
          <w:p w14:paraId="7A932090" w14:textId="77777777" w:rsidR="005D3546" w:rsidRPr="00AF41BD" w:rsidRDefault="005D3546" w:rsidP="00E930D4">
            <w:pPr>
              <w:pStyle w:val="ListParagraph"/>
              <w:ind w:left="0"/>
              <w:rPr>
                <w:sz w:val="20"/>
                <w:szCs w:val="24"/>
              </w:rPr>
            </w:pPr>
          </w:p>
        </w:tc>
      </w:tr>
      <w:tr w:rsidR="005D3546" w:rsidRPr="00AF41BD" w14:paraId="57E9EA9E" w14:textId="77777777" w:rsidTr="00E930D4">
        <w:tc>
          <w:tcPr>
            <w:tcW w:w="1558" w:type="dxa"/>
          </w:tcPr>
          <w:p w14:paraId="560E6F37" w14:textId="77777777" w:rsidR="005D3546" w:rsidRPr="00AF41BD" w:rsidRDefault="005D3546" w:rsidP="00E930D4">
            <w:pPr>
              <w:pStyle w:val="ListParagraph"/>
              <w:ind w:left="0"/>
              <w:rPr>
                <w:sz w:val="20"/>
                <w:szCs w:val="24"/>
              </w:rPr>
            </w:pPr>
          </w:p>
        </w:tc>
        <w:tc>
          <w:tcPr>
            <w:tcW w:w="1558" w:type="dxa"/>
          </w:tcPr>
          <w:p w14:paraId="02CD7038" w14:textId="77777777" w:rsidR="005D3546" w:rsidRPr="00AF41BD" w:rsidRDefault="005D3546" w:rsidP="00E930D4">
            <w:pPr>
              <w:pStyle w:val="ListParagraph"/>
              <w:ind w:left="0"/>
              <w:rPr>
                <w:sz w:val="20"/>
                <w:szCs w:val="24"/>
              </w:rPr>
            </w:pPr>
          </w:p>
        </w:tc>
        <w:tc>
          <w:tcPr>
            <w:tcW w:w="1558" w:type="dxa"/>
          </w:tcPr>
          <w:p w14:paraId="1E56C2A7" w14:textId="77777777" w:rsidR="005D3546" w:rsidRPr="00AF41BD" w:rsidRDefault="005D3546" w:rsidP="00E930D4">
            <w:pPr>
              <w:pStyle w:val="ListParagraph"/>
              <w:ind w:left="0"/>
              <w:rPr>
                <w:sz w:val="20"/>
                <w:szCs w:val="24"/>
              </w:rPr>
            </w:pPr>
          </w:p>
        </w:tc>
        <w:tc>
          <w:tcPr>
            <w:tcW w:w="1558" w:type="dxa"/>
          </w:tcPr>
          <w:p w14:paraId="01763DE4" w14:textId="77777777" w:rsidR="005D3546" w:rsidRPr="00AF41BD" w:rsidRDefault="005D3546" w:rsidP="00E930D4">
            <w:pPr>
              <w:pStyle w:val="ListParagraph"/>
              <w:ind w:left="0"/>
              <w:rPr>
                <w:sz w:val="20"/>
                <w:szCs w:val="24"/>
              </w:rPr>
            </w:pPr>
          </w:p>
        </w:tc>
        <w:tc>
          <w:tcPr>
            <w:tcW w:w="1559" w:type="dxa"/>
          </w:tcPr>
          <w:p w14:paraId="3031074E" w14:textId="77777777" w:rsidR="005D3546" w:rsidRPr="00AF41BD" w:rsidRDefault="005D3546" w:rsidP="00E930D4">
            <w:pPr>
              <w:pStyle w:val="ListParagraph"/>
              <w:ind w:left="0"/>
              <w:rPr>
                <w:sz w:val="20"/>
                <w:szCs w:val="24"/>
              </w:rPr>
            </w:pPr>
          </w:p>
        </w:tc>
        <w:tc>
          <w:tcPr>
            <w:tcW w:w="1559" w:type="dxa"/>
          </w:tcPr>
          <w:p w14:paraId="63F20D02" w14:textId="77777777" w:rsidR="005D3546" w:rsidRPr="00AF41BD" w:rsidRDefault="005D3546" w:rsidP="00E930D4">
            <w:pPr>
              <w:pStyle w:val="ListParagraph"/>
              <w:ind w:left="0"/>
              <w:rPr>
                <w:sz w:val="20"/>
                <w:szCs w:val="24"/>
              </w:rPr>
            </w:pPr>
          </w:p>
        </w:tc>
      </w:tr>
    </w:tbl>
    <w:p w14:paraId="43DA8C4F" w14:textId="77777777" w:rsidR="005D3546" w:rsidRPr="00E07E75" w:rsidRDefault="005D3546" w:rsidP="005D3546">
      <w:pPr>
        <w:pStyle w:val="ListParagraph"/>
        <w:ind w:left="0"/>
        <w:rPr>
          <w:sz w:val="24"/>
          <w:szCs w:val="24"/>
        </w:rPr>
      </w:pPr>
    </w:p>
    <w:p w14:paraId="32459588" w14:textId="77777777" w:rsidR="005D3546" w:rsidRPr="005F0AA1" w:rsidRDefault="005D3546" w:rsidP="005F0AA1">
      <w:pPr>
        <w:autoSpaceDE w:val="0"/>
        <w:autoSpaceDN w:val="0"/>
        <w:adjustRightInd w:val="0"/>
        <w:spacing w:after="120"/>
        <w:rPr>
          <w:rFonts w:cstheme="minorHAnsi"/>
          <w:color w:val="000000"/>
          <w:szCs w:val="20"/>
        </w:rPr>
      </w:pPr>
      <w:r w:rsidRPr="00AF41BD">
        <w:rPr>
          <w:szCs w:val="20"/>
        </w:rPr>
        <w:t xml:space="preserve">Please note that </w:t>
      </w:r>
      <w:r w:rsidRPr="00AF41BD">
        <w:rPr>
          <w:rFonts w:cstheme="minorHAnsi"/>
          <w:color w:val="000000"/>
          <w:szCs w:val="20"/>
        </w:rPr>
        <w:t xml:space="preserve">if your agency is approved for a waiver of match funding, the Federal share of funding that your agency receives will </w:t>
      </w:r>
      <w:r w:rsidRPr="00AF41BD">
        <w:rPr>
          <w:rFonts w:cstheme="minorHAnsi"/>
          <w:color w:val="000000"/>
          <w:szCs w:val="20"/>
          <w:u w:val="single"/>
        </w:rPr>
        <w:t>not</w:t>
      </w:r>
      <w:r w:rsidRPr="00AF41BD">
        <w:rPr>
          <w:rFonts w:cstheme="minorHAnsi"/>
          <w:color w:val="000000"/>
          <w:szCs w:val="20"/>
        </w:rPr>
        <w:t xml:space="preserve"> increase.</w:t>
      </w:r>
    </w:p>
    <w:p w14:paraId="32864C49" w14:textId="5D3D2DD8" w:rsidR="007973BA" w:rsidRPr="00A17646" w:rsidRDefault="00A17646" w:rsidP="00D2403A">
      <w:pPr>
        <w:pStyle w:val="Heading2"/>
      </w:pPr>
      <w:bookmarkStart w:id="35" w:name="_Toc58588098"/>
      <w:r w:rsidRPr="00A17646">
        <w:t>I would like to provide services for victims of hu</w:t>
      </w:r>
      <w:r w:rsidR="007973BA" w:rsidRPr="00A17646">
        <w:t>man trafficking</w:t>
      </w:r>
      <w:r w:rsidRPr="00A17646">
        <w:t>.  Is this allowed through VOCA?</w:t>
      </w:r>
      <w:bookmarkEnd w:id="35"/>
    </w:p>
    <w:p w14:paraId="65296A1A" w14:textId="1EFE4116" w:rsidR="00A17646" w:rsidRPr="0025369D" w:rsidRDefault="00A17646" w:rsidP="007973BA">
      <w:pPr>
        <w:rPr>
          <w:rStyle w:val="Hyperlink"/>
          <w:color w:val="auto"/>
          <w:u w:val="none"/>
        </w:rPr>
      </w:pPr>
      <w:r w:rsidRPr="00A17646">
        <w:t xml:space="preserve">All applicants and recipients of funding through our Human Trafficking priority must have the support of </w:t>
      </w:r>
      <w:r w:rsidR="00E6283B">
        <w:t xml:space="preserve">the NC </w:t>
      </w:r>
      <w:r w:rsidRPr="00A17646">
        <w:t xml:space="preserve">Human Trafficking </w:t>
      </w:r>
      <w:r w:rsidR="00D27C7F" w:rsidRPr="00A17646">
        <w:t xml:space="preserve">Commission </w:t>
      </w:r>
      <w:r w:rsidR="00E6283B">
        <w:t xml:space="preserve">(part of the state’s Administrative Office of the Courts) </w:t>
      </w:r>
      <w:r w:rsidR="00D27C7F" w:rsidRPr="00A17646">
        <w:t>and</w:t>
      </w:r>
      <w:r w:rsidRPr="00A17646">
        <w:t xml:space="preserve"> must illustrate </w:t>
      </w:r>
      <w:r w:rsidR="00E6283B">
        <w:t xml:space="preserve">this support </w:t>
      </w:r>
      <w:r w:rsidRPr="00A17646">
        <w:t xml:space="preserve">by providing a letter and MOU </w:t>
      </w:r>
      <w:r w:rsidR="00E6283B">
        <w:t xml:space="preserve">from the Commission </w:t>
      </w:r>
      <w:r w:rsidRPr="00A17646">
        <w:t xml:space="preserve">as an upload to their project applications. </w:t>
      </w:r>
      <w:r w:rsidR="0025369D">
        <w:t xml:space="preserve"> </w:t>
      </w:r>
      <w:r w:rsidRPr="00A17646">
        <w:t>The H</w:t>
      </w:r>
      <w:r>
        <w:t xml:space="preserve">uman </w:t>
      </w:r>
      <w:r w:rsidRPr="00A17646">
        <w:t>T</w:t>
      </w:r>
      <w:r>
        <w:t>rafficking</w:t>
      </w:r>
      <w:r w:rsidRPr="00A17646">
        <w:t xml:space="preserve"> Commission leads the state’s efforts on anti-human trafficking efforts.  Information on the Commission can be found here: </w:t>
      </w:r>
      <w:hyperlink r:id="rId18" w:history="1">
        <w:r w:rsidR="00F43CCA" w:rsidRPr="003C5B15">
          <w:rPr>
            <w:rStyle w:val="Hyperlink"/>
          </w:rPr>
          <w:t>https://www.nccourts.gov/commissions/human-trafficking-commission</w:t>
        </w:r>
      </w:hyperlink>
    </w:p>
    <w:p w14:paraId="07DEE7AE" w14:textId="2151D989" w:rsidR="00EE4301" w:rsidRDefault="00EE4301" w:rsidP="007B6F62">
      <w:pPr>
        <w:pStyle w:val="Heading2"/>
      </w:pPr>
      <w:bookmarkStart w:id="36" w:name="_Toc58588099"/>
      <w:r>
        <w:t>What is a subrecipient’s responsibility regarding collecting a rental deposit for a victim as part of the provision of transitional housing?</w:t>
      </w:r>
      <w:bookmarkEnd w:id="36"/>
    </w:p>
    <w:p w14:paraId="1B226A9E" w14:textId="5ABA6184" w:rsidR="00EE4301" w:rsidRPr="0072348D" w:rsidRDefault="00EE4301" w:rsidP="00EE4301">
      <w:r w:rsidRPr="0072348D">
        <w:t>Transitional housing expenses, including rental and security deposits, are allowable, subject to any restriction on the amount, length of time, and eligible crimes set by the state administering agency</w:t>
      </w:r>
      <w:proofErr w:type="gramStart"/>
      <w:r w:rsidRPr="0072348D">
        <w:t xml:space="preserve">. </w:t>
      </w:r>
      <w:proofErr w:type="gramEnd"/>
      <w:r w:rsidRPr="0072348D">
        <w:t>OVC encourages subrecipients to have an agreement in place with the l</w:t>
      </w:r>
      <w:r w:rsidR="0072348D">
        <w:t xml:space="preserve">andlord that the full/remaining </w:t>
      </w:r>
      <w:r w:rsidRPr="0072348D">
        <w:t>deposit will be returned to the organization and not the victim at the end of the lease</w:t>
      </w:r>
      <w:proofErr w:type="gramStart"/>
      <w:r w:rsidRPr="0072348D">
        <w:t xml:space="preserve">. </w:t>
      </w:r>
      <w:proofErr w:type="gramEnd"/>
      <w:r w:rsidRPr="0072348D">
        <w:t xml:space="preserve">In the event that a subgrantee has not made an agreement with the landlord, the subrecipient should make a good faith effort to collect the security or rental deposit from the victim and document such efforts.  </w:t>
      </w:r>
      <w:r w:rsidR="00E6283B">
        <w:t xml:space="preserve">GCC limits the </w:t>
      </w:r>
      <w:r w:rsidR="00E6283B">
        <w:lastRenderedPageBreak/>
        <w:t>provision of transitional housing to victims to not exceed one year of rental support or housing provision.</w:t>
      </w:r>
    </w:p>
    <w:p w14:paraId="00D862A2" w14:textId="5CC8731E" w:rsidR="007973BA" w:rsidRPr="00E71724" w:rsidRDefault="007973BA" w:rsidP="00D2403A">
      <w:pPr>
        <w:pStyle w:val="Heading2"/>
      </w:pPr>
      <w:bookmarkStart w:id="37" w:name="_Toc58588100"/>
      <w:r w:rsidRPr="00E71724">
        <w:t>Can VOCA funds be used for prevention?</w:t>
      </w:r>
      <w:bookmarkEnd w:id="37"/>
    </w:p>
    <w:p w14:paraId="084C85A5" w14:textId="77777777" w:rsidR="001734A3" w:rsidRPr="008B0E59" w:rsidRDefault="001734A3" w:rsidP="007973BA">
      <w:r>
        <w:t>While your agency may provide prevention-based activities, these activities cannot be supported with VOCA funding.  Public awareness and outreach are</w:t>
      </w:r>
      <w:r w:rsidR="00E71724">
        <w:t xml:space="preserve"> allowable activities and include presentations, brochures, and PSAs that inform crime victims of specific rights and services and to provide them with services and assistance.</w:t>
      </w:r>
    </w:p>
    <w:p w14:paraId="7AAFC589" w14:textId="577D0CD1" w:rsidR="007973BA" w:rsidRPr="009009DE" w:rsidRDefault="007973BA" w:rsidP="00D2403A">
      <w:pPr>
        <w:pStyle w:val="Heading2"/>
      </w:pPr>
      <w:bookmarkStart w:id="38" w:name="_Toc58588101"/>
      <w:r w:rsidRPr="009009DE">
        <w:t>What tools can be used for project evaluations?</w:t>
      </w:r>
      <w:bookmarkEnd w:id="38"/>
    </w:p>
    <w:p w14:paraId="4439FFC2" w14:textId="77777777" w:rsidR="009009DE" w:rsidRDefault="009009DE" w:rsidP="007973BA">
      <w:r w:rsidRPr="009009DE">
        <w:t>The OVC Training and Technical Assistance Center can help identify tools that states and subgrantees can use for project evaluations.</w:t>
      </w:r>
      <w:r>
        <w:t xml:space="preserve">  For assistance, please visit: </w:t>
      </w:r>
      <w:hyperlink r:id="rId19" w:history="1">
        <w:r w:rsidRPr="00105A1B">
          <w:rPr>
            <w:rStyle w:val="Hyperlink"/>
          </w:rPr>
          <w:t>https://www.ovcttac.gov/</w:t>
        </w:r>
      </w:hyperlink>
    </w:p>
    <w:p w14:paraId="001595C3" w14:textId="1BB2BDDC" w:rsidR="007973BA" w:rsidRPr="009009DE" w:rsidRDefault="007973BA" w:rsidP="00D2403A">
      <w:pPr>
        <w:pStyle w:val="Heading2"/>
      </w:pPr>
      <w:bookmarkStart w:id="39" w:name="_Toc58588102"/>
      <w:r w:rsidRPr="009009DE">
        <w:t>Do I qualify for an award in the "underserved" priority?</w:t>
      </w:r>
      <w:bookmarkEnd w:id="39"/>
    </w:p>
    <w:p w14:paraId="571F1CF9" w14:textId="77777777" w:rsidR="009009DE" w:rsidRPr="009009DE" w:rsidRDefault="009009DE" w:rsidP="007973BA">
      <w:pPr>
        <w:rPr>
          <w:sz w:val="20"/>
        </w:rPr>
      </w:pPr>
      <w:r w:rsidRPr="009009DE">
        <w:rPr>
          <w:rFonts w:eastAsia="Times New Roman" w:cstheme="minorHAnsi"/>
          <w:szCs w:val="23"/>
        </w:rPr>
        <w:t>VOCA requires funding be allocated to projects serving “previously underserved populations of victims of violent crime”</w:t>
      </w:r>
      <w:proofErr w:type="gramStart"/>
      <w:r w:rsidRPr="009009DE">
        <w:rPr>
          <w:rFonts w:eastAsia="Times New Roman" w:cstheme="minorHAnsi"/>
          <w:szCs w:val="23"/>
        </w:rPr>
        <w:t xml:space="preserve">. </w:t>
      </w:r>
      <w:proofErr w:type="gramEnd"/>
      <w:r w:rsidRPr="009009DE">
        <w:rPr>
          <w:rFonts w:eastAsia="Times New Roman" w:cstheme="minorHAnsi"/>
          <w:szCs w:val="23"/>
        </w:rPr>
        <w:t xml:space="preserve">Underserved populations may be distinguished by crime type, demographic characterizations, or both.  These populations may require special consideration/services due to possibly being overlooked in the past or not having access to adequate services. </w:t>
      </w:r>
    </w:p>
    <w:p w14:paraId="5FA77311" w14:textId="27F5B704" w:rsidR="007973BA" w:rsidRPr="009009DE" w:rsidRDefault="007973BA" w:rsidP="00D2403A">
      <w:pPr>
        <w:pStyle w:val="Heading2"/>
      </w:pPr>
      <w:bookmarkStart w:id="40" w:name="_Toc58588103"/>
      <w:r w:rsidRPr="009009DE">
        <w:t>When are my OVC-PMT reports due?</w:t>
      </w:r>
      <w:bookmarkEnd w:id="40"/>
    </w:p>
    <w:p w14:paraId="35F64F42" w14:textId="77777777" w:rsidR="009009DE" w:rsidRPr="009009DE" w:rsidRDefault="009009DE" w:rsidP="009009DE">
      <w:pPr>
        <w:autoSpaceDE w:val="0"/>
        <w:autoSpaceDN w:val="0"/>
        <w:adjustRightInd w:val="0"/>
        <w:spacing w:after="120"/>
      </w:pPr>
      <w:r w:rsidRPr="009009DE">
        <w:t>All VOCA-funded projects are required to provide a report reflecting programmatic performance on a quarterly basis</w:t>
      </w:r>
      <w:proofErr w:type="gramStart"/>
      <w:r w:rsidRPr="009009DE">
        <w:t xml:space="preserve">. </w:t>
      </w:r>
      <w:proofErr w:type="gramEnd"/>
      <w:r w:rsidRPr="009009DE">
        <w:t xml:space="preserve">The reported data allows us to demonstrate the value and specific benefits of your program to government agencies, the victim services field, the general public, and other stakeholders. </w:t>
      </w:r>
    </w:p>
    <w:p w14:paraId="454B6906" w14:textId="77777777" w:rsidR="009009DE" w:rsidRPr="009009DE" w:rsidRDefault="009009DE" w:rsidP="009009DE">
      <w:pPr>
        <w:autoSpaceDE w:val="0"/>
        <w:autoSpaceDN w:val="0"/>
        <w:adjustRightInd w:val="0"/>
        <w:spacing w:after="120"/>
        <w:rPr>
          <w:rFonts w:cstheme="minorHAnsi"/>
        </w:rPr>
      </w:pPr>
      <w:r w:rsidRPr="009009DE">
        <w:rPr>
          <w:rFonts w:cstheme="minorHAnsi"/>
        </w:rPr>
        <w:t>Data is to be reported to the GCC on the following dates:</w:t>
      </w:r>
    </w:p>
    <w:tbl>
      <w:tblPr>
        <w:tblW w:w="0" w:type="auto"/>
        <w:jc w:val="center"/>
        <w:tblCellMar>
          <w:left w:w="0" w:type="dxa"/>
          <w:right w:w="0" w:type="dxa"/>
        </w:tblCellMar>
        <w:tblLook w:val="04A0" w:firstRow="1" w:lastRow="0" w:firstColumn="1" w:lastColumn="0" w:noHBand="0" w:noVBand="1"/>
      </w:tblPr>
      <w:tblGrid>
        <w:gridCol w:w="2520"/>
        <w:gridCol w:w="2250"/>
      </w:tblGrid>
      <w:tr w:rsidR="009009DE" w:rsidRPr="003661FC" w14:paraId="120C22AC" w14:textId="77777777" w:rsidTr="00E930D4">
        <w:trPr>
          <w:jc w:val="center"/>
        </w:trPr>
        <w:tc>
          <w:tcPr>
            <w:tcW w:w="2520" w:type="dxa"/>
            <w:tcBorders>
              <w:top w:val="nil"/>
              <w:left w:val="nil"/>
              <w:bottom w:val="single" w:sz="8" w:space="0" w:color="7F7F7F"/>
              <w:right w:val="nil"/>
            </w:tcBorders>
            <w:tcMar>
              <w:top w:w="0" w:type="dxa"/>
              <w:left w:w="108" w:type="dxa"/>
              <w:bottom w:w="0" w:type="dxa"/>
              <w:right w:w="108" w:type="dxa"/>
            </w:tcMar>
            <w:hideMark/>
          </w:tcPr>
          <w:p w14:paraId="7908E10B" w14:textId="77777777" w:rsidR="009009DE" w:rsidRPr="003661FC" w:rsidRDefault="009009DE" w:rsidP="00E930D4">
            <w:pPr>
              <w:spacing w:before="100" w:beforeAutospacing="1" w:after="100" w:afterAutospacing="1"/>
              <w:jc w:val="center"/>
              <w:rPr>
                <w:rFonts w:cstheme="minorHAnsi"/>
                <w:sz w:val="20"/>
              </w:rPr>
            </w:pPr>
            <w:r w:rsidRPr="003661FC">
              <w:rPr>
                <w:rFonts w:cstheme="minorHAnsi"/>
                <w:b/>
                <w:bCs/>
                <w:caps/>
                <w:sz w:val="20"/>
              </w:rPr>
              <w:t>Report Window</w:t>
            </w:r>
          </w:p>
        </w:tc>
        <w:tc>
          <w:tcPr>
            <w:tcW w:w="2250" w:type="dxa"/>
            <w:tcBorders>
              <w:top w:val="nil"/>
              <w:left w:val="nil"/>
              <w:bottom w:val="single" w:sz="8" w:space="0" w:color="7F7F7F"/>
              <w:right w:val="nil"/>
            </w:tcBorders>
            <w:tcMar>
              <w:top w:w="0" w:type="dxa"/>
              <w:left w:w="108" w:type="dxa"/>
              <w:bottom w:w="0" w:type="dxa"/>
              <w:right w:w="108" w:type="dxa"/>
            </w:tcMar>
            <w:hideMark/>
          </w:tcPr>
          <w:p w14:paraId="64AE6957" w14:textId="77777777" w:rsidR="009009DE" w:rsidRPr="003661FC" w:rsidRDefault="009009DE" w:rsidP="00E930D4">
            <w:pPr>
              <w:spacing w:before="100" w:beforeAutospacing="1" w:after="100" w:afterAutospacing="1"/>
              <w:jc w:val="center"/>
              <w:rPr>
                <w:rFonts w:cstheme="minorHAnsi"/>
                <w:sz w:val="20"/>
              </w:rPr>
            </w:pPr>
            <w:r w:rsidRPr="003661FC">
              <w:rPr>
                <w:rFonts w:cstheme="minorHAnsi"/>
                <w:b/>
                <w:bCs/>
                <w:caps/>
                <w:sz w:val="20"/>
              </w:rPr>
              <w:t>Due Date</w:t>
            </w:r>
          </w:p>
        </w:tc>
      </w:tr>
      <w:tr w:rsidR="009009DE" w:rsidRPr="003661FC" w14:paraId="674E1CDE" w14:textId="77777777" w:rsidTr="00E930D4">
        <w:trPr>
          <w:jc w:val="center"/>
        </w:trPr>
        <w:tc>
          <w:tcPr>
            <w:tcW w:w="2520" w:type="dxa"/>
            <w:tcBorders>
              <w:top w:val="nil"/>
              <w:left w:val="nil"/>
              <w:bottom w:val="nil"/>
              <w:right w:val="single" w:sz="8" w:space="0" w:color="7F7F7F"/>
            </w:tcBorders>
            <w:shd w:val="clear" w:color="auto" w:fill="F2F2F2"/>
            <w:tcMar>
              <w:top w:w="0" w:type="dxa"/>
              <w:left w:w="108" w:type="dxa"/>
              <w:bottom w:w="0" w:type="dxa"/>
              <w:right w:w="108" w:type="dxa"/>
            </w:tcMar>
            <w:hideMark/>
          </w:tcPr>
          <w:p w14:paraId="769AE1D2" w14:textId="77777777" w:rsidR="009009DE" w:rsidRPr="003661FC" w:rsidRDefault="009009DE" w:rsidP="00E930D4">
            <w:pPr>
              <w:spacing w:before="100" w:beforeAutospacing="1" w:after="100" w:afterAutospacing="1"/>
              <w:jc w:val="center"/>
              <w:rPr>
                <w:rFonts w:cstheme="minorHAnsi"/>
                <w:sz w:val="20"/>
              </w:rPr>
            </w:pPr>
            <w:r w:rsidRPr="003661FC">
              <w:rPr>
                <w:rFonts w:cstheme="minorHAnsi"/>
                <w:b/>
                <w:bCs/>
                <w:caps/>
                <w:sz w:val="20"/>
              </w:rPr>
              <w:t>October – December</w:t>
            </w:r>
          </w:p>
        </w:tc>
        <w:tc>
          <w:tcPr>
            <w:tcW w:w="2250" w:type="dxa"/>
            <w:shd w:val="clear" w:color="auto" w:fill="F2F2F2"/>
            <w:tcMar>
              <w:top w:w="0" w:type="dxa"/>
              <w:left w:w="108" w:type="dxa"/>
              <w:bottom w:w="0" w:type="dxa"/>
              <w:right w:w="108" w:type="dxa"/>
            </w:tcMar>
            <w:hideMark/>
          </w:tcPr>
          <w:p w14:paraId="2ED61E1D" w14:textId="77777777" w:rsidR="009009DE" w:rsidRPr="003661FC" w:rsidRDefault="009009DE" w:rsidP="00E930D4">
            <w:pPr>
              <w:spacing w:before="100" w:beforeAutospacing="1" w:after="100" w:afterAutospacing="1"/>
              <w:jc w:val="center"/>
              <w:rPr>
                <w:rFonts w:cstheme="minorHAnsi"/>
                <w:sz w:val="20"/>
              </w:rPr>
            </w:pPr>
            <w:r w:rsidRPr="003661FC">
              <w:rPr>
                <w:rFonts w:cstheme="minorHAnsi"/>
                <w:sz w:val="20"/>
              </w:rPr>
              <w:t>January 30</w:t>
            </w:r>
            <w:r w:rsidRPr="003661FC">
              <w:rPr>
                <w:rFonts w:cstheme="minorHAnsi"/>
                <w:sz w:val="20"/>
                <w:vertAlign w:val="superscript"/>
              </w:rPr>
              <w:t>th</w:t>
            </w:r>
            <w:r w:rsidRPr="003661FC">
              <w:rPr>
                <w:rFonts w:cstheme="minorHAnsi"/>
                <w:sz w:val="20"/>
              </w:rPr>
              <w:t xml:space="preserve"> </w:t>
            </w:r>
          </w:p>
        </w:tc>
      </w:tr>
      <w:tr w:rsidR="009009DE" w:rsidRPr="003661FC" w14:paraId="3AC181A4" w14:textId="77777777" w:rsidTr="00E930D4">
        <w:trPr>
          <w:jc w:val="center"/>
        </w:trPr>
        <w:tc>
          <w:tcPr>
            <w:tcW w:w="2520" w:type="dxa"/>
            <w:tcBorders>
              <w:top w:val="nil"/>
              <w:left w:val="nil"/>
              <w:bottom w:val="nil"/>
              <w:right w:val="single" w:sz="8" w:space="0" w:color="7F7F7F"/>
            </w:tcBorders>
            <w:tcMar>
              <w:top w:w="0" w:type="dxa"/>
              <w:left w:w="108" w:type="dxa"/>
              <w:bottom w:w="0" w:type="dxa"/>
              <w:right w:w="108" w:type="dxa"/>
            </w:tcMar>
            <w:hideMark/>
          </w:tcPr>
          <w:p w14:paraId="3AB664CA" w14:textId="77777777" w:rsidR="009009DE" w:rsidRPr="003661FC" w:rsidRDefault="009009DE" w:rsidP="00E930D4">
            <w:pPr>
              <w:spacing w:before="100" w:beforeAutospacing="1" w:after="100" w:afterAutospacing="1"/>
              <w:jc w:val="center"/>
              <w:rPr>
                <w:rFonts w:cstheme="minorHAnsi"/>
                <w:sz w:val="20"/>
              </w:rPr>
            </w:pPr>
            <w:r w:rsidRPr="003661FC">
              <w:rPr>
                <w:rFonts w:cstheme="minorHAnsi"/>
                <w:b/>
                <w:bCs/>
                <w:caps/>
                <w:sz w:val="20"/>
              </w:rPr>
              <w:t>January – March</w:t>
            </w:r>
          </w:p>
        </w:tc>
        <w:tc>
          <w:tcPr>
            <w:tcW w:w="2250" w:type="dxa"/>
            <w:tcMar>
              <w:top w:w="0" w:type="dxa"/>
              <w:left w:w="108" w:type="dxa"/>
              <w:bottom w:w="0" w:type="dxa"/>
              <w:right w:w="108" w:type="dxa"/>
            </w:tcMar>
            <w:hideMark/>
          </w:tcPr>
          <w:p w14:paraId="024561B1" w14:textId="77777777" w:rsidR="009009DE" w:rsidRPr="003661FC" w:rsidRDefault="009009DE" w:rsidP="00E930D4">
            <w:pPr>
              <w:spacing w:before="100" w:beforeAutospacing="1" w:after="100" w:afterAutospacing="1"/>
              <w:jc w:val="center"/>
              <w:rPr>
                <w:rFonts w:cstheme="minorHAnsi"/>
                <w:sz w:val="20"/>
              </w:rPr>
            </w:pPr>
            <w:r w:rsidRPr="003661FC">
              <w:rPr>
                <w:rFonts w:cstheme="minorHAnsi"/>
                <w:sz w:val="20"/>
              </w:rPr>
              <w:t>April 30</w:t>
            </w:r>
            <w:r w:rsidRPr="003661FC">
              <w:rPr>
                <w:rFonts w:cstheme="minorHAnsi"/>
                <w:sz w:val="20"/>
                <w:vertAlign w:val="superscript"/>
              </w:rPr>
              <w:t>th</w:t>
            </w:r>
            <w:r w:rsidRPr="003661FC">
              <w:rPr>
                <w:rFonts w:cstheme="minorHAnsi"/>
                <w:sz w:val="20"/>
              </w:rPr>
              <w:t xml:space="preserve"> </w:t>
            </w:r>
          </w:p>
        </w:tc>
      </w:tr>
      <w:tr w:rsidR="009009DE" w:rsidRPr="003661FC" w14:paraId="3C70EB2F" w14:textId="77777777" w:rsidTr="00E930D4">
        <w:trPr>
          <w:jc w:val="center"/>
        </w:trPr>
        <w:tc>
          <w:tcPr>
            <w:tcW w:w="2520" w:type="dxa"/>
            <w:tcBorders>
              <w:top w:val="nil"/>
              <w:left w:val="nil"/>
              <w:bottom w:val="nil"/>
              <w:right w:val="single" w:sz="8" w:space="0" w:color="7F7F7F"/>
            </w:tcBorders>
            <w:shd w:val="clear" w:color="auto" w:fill="F2F2F2"/>
            <w:tcMar>
              <w:top w:w="0" w:type="dxa"/>
              <w:left w:w="108" w:type="dxa"/>
              <w:bottom w:w="0" w:type="dxa"/>
              <w:right w:w="108" w:type="dxa"/>
            </w:tcMar>
            <w:hideMark/>
          </w:tcPr>
          <w:p w14:paraId="2C974F37" w14:textId="77777777" w:rsidR="009009DE" w:rsidRPr="003661FC" w:rsidRDefault="009009DE" w:rsidP="00E930D4">
            <w:pPr>
              <w:spacing w:before="100" w:beforeAutospacing="1" w:after="100" w:afterAutospacing="1"/>
              <w:jc w:val="center"/>
              <w:rPr>
                <w:rFonts w:cstheme="minorHAnsi"/>
                <w:sz w:val="20"/>
              </w:rPr>
            </w:pPr>
            <w:r w:rsidRPr="003661FC">
              <w:rPr>
                <w:rFonts w:cstheme="minorHAnsi"/>
                <w:b/>
                <w:bCs/>
                <w:caps/>
                <w:sz w:val="20"/>
              </w:rPr>
              <w:t>April – June</w:t>
            </w:r>
          </w:p>
        </w:tc>
        <w:tc>
          <w:tcPr>
            <w:tcW w:w="2250" w:type="dxa"/>
            <w:shd w:val="clear" w:color="auto" w:fill="F2F2F2"/>
            <w:tcMar>
              <w:top w:w="0" w:type="dxa"/>
              <w:left w:w="108" w:type="dxa"/>
              <w:bottom w:w="0" w:type="dxa"/>
              <w:right w:w="108" w:type="dxa"/>
            </w:tcMar>
            <w:hideMark/>
          </w:tcPr>
          <w:p w14:paraId="43C6CB45" w14:textId="77777777" w:rsidR="009009DE" w:rsidRPr="003661FC" w:rsidRDefault="009009DE" w:rsidP="00E930D4">
            <w:pPr>
              <w:spacing w:before="100" w:beforeAutospacing="1" w:after="100" w:afterAutospacing="1"/>
              <w:jc w:val="center"/>
              <w:rPr>
                <w:rFonts w:cstheme="minorHAnsi"/>
                <w:sz w:val="20"/>
              </w:rPr>
            </w:pPr>
            <w:r w:rsidRPr="003661FC">
              <w:rPr>
                <w:rFonts w:cstheme="minorHAnsi"/>
                <w:sz w:val="20"/>
              </w:rPr>
              <w:t>July 30</w:t>
            </w:r>
            <w:r w:rsidRPr="003661FC">
              <w:rPr>
                <w:rFonts w:cstheme="minorHAnsi"/>
                <w:sz w:val="20"/>
                <w:vertAlign w:val="superscript"/>
              </w:rPr>
              <w:t>th</w:t>
            </w:r>
            <w:r w:rsidRPr="003661FC">
              <w:rPr>
                <w:rFonts w:cstheme="minorHAnsi"/>
                <w:sz w:val="20"/>
              </w:rPr>
              <w:t xml:space="preserve"> </w:t>
            </w:r>
          </w:p>
        </w:tc>
      </w:tr>
      <w:tr w:rsidR="009009DE" w:rsidRPr="003661FC" w14:paraId="0C3F6E5C" w14:textId="77777777" w:rsidTr="00E930D4">
        <w:trPr>
          <w:jc w:val="center"/>
        </w:trPr>
        <w:tc>
          <w:tcPr>
            <w:tcW w:w="2520" w:type="dxa"/>
            <w:tcBorders>
              <w:top w:val="nil"/>
              <w:left w:val="nil"/>
              <w:bottom w:val="nil"/>
              <w:right w:val="single" w:sz="8" w:space="0" w:color="7F7F7F"/>
            </w:tcBorders>
            <w:tcMar>
              <w:top w:w="0" w:type="dxa"/>
              <w:left w:w="108" w:type="dxa"/>
              <w:bottom w:w="0" w:type="dxa"/>
              <w:right w:w="108" w:type="dxa"/>
            </w:tcMar>
            <w:hideMark/>
          </w:tcPr>
          <w:p w14:paraId="52FB511A" w14:textId="77777777" w:rsidR="009009DE" w:rsidRPr="003661FC" w:rsidRDefault="009009DE" w:rsidP="00E930D4">
            <w:pPr>
              <w:spacing w:before="100" w:beforeAutospacing="1" w:after="100" w:afterAutospacing="1"/>
              <w:jc w:val="center"/>
              <w:rPr>
                <w:rFonts w:cstheme="minorHAnsi"/>
                <w:sz w:val="20"/>
              </w:rPr>
            </w:pPr>
            <w:r w:rsidRPr="003661FC">
              <w:rPr>
                <w:rFonts w:cstheme="minorHAnsi"/>
                <w:b/>
                <w:bCs/>
                <w:caps/>
                <w:sz w:val="20"/>
              </w:rPr>
              <w:t>July – September</w:t>
            </w:r>
          </w:p>
        </w:tc>
        <w:tc>
          <w:tcPr>
            <w:tcW w:w="2250" w:type="dxa"/>
            <w:tcMar>
              <w:top w:w="0" w:type="dxa"/>
              <w:left w:w="108" w:type="dxa"/>
              <w:bottom w:w="0" w:type="dxa"/>
              <w:right w:w="108" w:type="dxa"/>
            </w:tcMar>
            <w:hideMark/>
          </w:tcPr>
          <w:p w14:paraId="0E6322EC" w14:textId="77777777" w:rsidR="009009DE" w:rsidRPr="003661FC" w:rsidRDefault="009009DE" w:rsidP="00E930D4">
            <w:pPr>
              <w:spacing w:before="100" w:beforeAutospacing="1" w:after="100" w:afterAutospacing="1"/>
              <w:jc w:val="center"/>
              <w:rPr>
                <w:rFonts w:cstheme="minorHAnsi"/>
                <w:sz w:val="20"/>
              </w:rPr>
            </w:pPr>
            <w:r w:rsidRPr="003661FC">
              <w:rPr>
                <w:rFonts w:cstheme="minorHAnsi"/>
                <w:sz w:val="20"/>
              </w:rPr>
              <w:t>October 30</w:t>
            </w:r>
            <w:r w:rsidRPr="003661FC">
              <w:rPr>
                <w:rFonts w:cstheme="minorHAnsi"/>
                <w:sz w:val="20"/>
                <w:vertAlign w:val="superscript"/>
              </w:rPr>
              <w:t>th</w:t>
            </w:r>
            <w:r w:rsidRPr="003661FC">
              <w:rPr>
                <w:rFonts w:cstheme="minorHAnsi"/>
                <w:sz w:val="20"/>
              </w:rPr>
              <w:t xml:space="preserve"> </w:t>
            </w:r>
          </w:p>
        </w:tc>
      </w:tr>
    </w:tbl>
    <w:p w14:paraId="787982DB" w14:textId="77777777" w:rsidR="009009DE" w:rsidRPr="009009DE" w:rsidRDefault="009009DE" w:rsidP="009009DE">
      <w:pPr>
        <w:autoSpaceDE w:val="0"/>
        <w:autoSpaceDN w:val="0"/>
        <w:adjustRightInd w:val="0"/>
        <w:spacing w:before="120" w:after="120"/>
        <w:rPr>
          <w:rFonts w:cstheme="minorHAnsi"/>
          <w:color w:val="000000"/>
        </w:rPr>
      </w:pPr>
      <w:r w:rsidRPr="009009DE">
        <w:rPr>
          <w:rFonts w:cstheme="minorHAnsi"/>
          <w:color w:val="000000"/>
        </w:rPr>
        <w:t>It is important to recognize that</w:t>
      </w:r>
      <w:r w:rsidR="003661FC">
        <w:rPr>
          <w:rFonts w:cstheme="minorHAnsi"/>
          <w:color w:val="000000"/>
        </w:rPr>
        <w:t xml:space="preserve"> reminder emails from the</w:t>
      </w:r>
      <w:r w:rsidRPr="009009DE">
        <w:rPr>
          <w:rFonts w:cstheme="minorHAnsi"/>
          <w:color w:val="000000"/>
        </w:rPr>
        <w:t xml:space="preserve"> OVC-PMT </w:t>
      </w:r>
      <w:r w:rsidR="003661FC">
        <w:rPr>
          <w:rFonts w:cstheme="minorHAnsi"/>
          <w:color w:val="000000"/>
        </w:rPr>
        <w:t>system</w:t>
      </w:r>
      <w:r w:rsidRPr="009009DE">
        <w:rPr>
          <w:rFonts w:cstheme="minorHAnsi"/>
          <w:color w:val="000000"/>
        </w:rPr>
        <w:t xml:space="preserve"> may indicate a different date; this date is the deadline for GCC to provide a full report to the Office for Victims of Crime</w:t>
      </w:r>
      <w:proofErr w:type="gramStart"/>
      <w:r w:rsidRPr="009009DE">
        <w:rPr>
          <w:rFonts w:cstheme="minorHAnsi"/>
          <w:color w:val="000000"/>
        </w:rPr>
        <w:t xml:space="preserve">. </w:t>
      </w:r>
      <w:proofErr w:type="gramEnd"/>
      <w:r w:rsidRPr="009009DE">
        <w:rPr>
          <w:rFonts w:cstheme="minorHAnsi"/>
          <w:color w:val="000000"/>
        </w:rPr>
        <w:t xml:space="preserve">You must adhere to the deadlines (above) provided to you by GCC. </w:t>
      </w:r>
    </w:p>
    <w:p w14:paraId="689DF7AE" w14:textId="77777777" w:rsidR="003661FC" w:rsidRDefault="009009DE" w:rsidP="007973BA">
      <w:pPr>
        <w:rPr>
          <w:rFonts w:cstheme="minorHAnsi"/>
          <w:color w:val="000000"/>
        </w:rPr>
      </w:pPr>
      <w:r w:rsidRPr="009009DE">
        <w:rPr>
          <w:rFonts w:cstheme="minorHAnsi"/>
          <w:color w:val="000000"/>
        </w:rPr>
        <w:t xml:space="preserve">Please be aware that providing an upload of this information in GEMS is not sufficient for reporting purposes, and all of the performance measurement data requested should be entered into the OVC-PMT website: </w:t>
      </w:r>
      <w:hyperlink r:id="rId20" w:history="1">
        <w:r w:rsidR="003661FC" w:rsidRPr="00105A1B">
          <w:rPr>
            <w:rStyle w:val="Hyperlink"/>
            <w:rFonts w:cstheme="minorHAnsi"/>
          </w:rPr>
          <w:t>https://ovcpmt.ojp.gov/</w:t>
        </w:r>
      </w:hyperlink>
    </w:p>
    <w:p w14:paraId="0F33AC40" w14:textId="77777777" w:rsidR="009009DE" w:rsidRPr="009009DE" w:rsidRDefault="009009DE" w:rsidP="007973BA">
      <w:r w:rsidRPr="009009DE">
        <w:rPr>
          <w:rFonts w:cstheme="minorHAnsi"/>
          <w:color w:val="000000"/>
        </w:rPr>
        <w:t>Failure to report y</w:t>
      </w:r>
      <w:r w:rsidR="003661FC">
        <w:rPr>
          <w:rFonts w:cstheme="minorHAnsi"/>
          <w:color w:val="000000"/>
        </w:rPr>
        <w:t>our programmatic performance will</w:t>
      </w:r>
      <w:r w:rsidRPr="009009DE">
        <w:rPr>
          <w:rFonts w:cstheme="minorHAnsi"/>
          <w:color w:val="000000"/>
        </w:rPr>
        <w:t xml:space="preserve"> result in a hold of your</w:t>
      </w:r>
      <w:r w:rsidR="003661FC">
        <w:rPr>
          <w:rFonts w:cstheme="minorHAnsi"/>
          <w:color w:val="000000"/>
        </w:rPr>
        <w:t xml:space="preserve"> grant</w:t>
      </w:r>
      <w:r w:rsidRPr="009009DE">
        <w:rPr>
          <w:rFonts w:cstheme="minorHAnsi"/>
          <w:color w:val="000000"/>
        </w:rPr>
        <w:t xml:space="preserve"> funds.</w:t>
      </w:r>
    </w:p>
    <w:p w14:paraId="4C63C527" w14:textId="73066ED7" w:rsidR="007973BA" w:rsidRPr="009009DE" w:rsidRDefault="007973BA" w:rsidP="00D2403A">
      <w:pPr>
        <w:pStyle w:val="Heading2"/>
      </w:pPr>
      <w:bookmarkStart w:id="41" w:name="_Toc58588104"/>
      <w:r w:rsidRPr="009009DE">
        <w:t>I am having issues submitting my PMT report</w:t>
      </w:r>
      <w:proofErr w:type="gramStart"/>
      <w:r w:rsidRPr="009009DE">
        <w:t xml:space="preserve">. </w:t>
      </w:r>
      <w:proofErr w:type="gramEnd"/>
      <w:r w:rsidRPr="009009DE">
        <w:t>Who do I contact?</w:t>
      </w:r>
      <w:bookmarkEnd w:id="41"/>
    </w:p>
    <w:p w14:paraId="2A8F41F6" w14:textId="77777777" w:rsidR="009009DE" w:rsidRPr="008B0E59" w:rsidRDefault="009009DE" w:rsidP="007973BA">
      <w:r>
        <w:t>If you are having proble</w:t>
      </w:r>
      <w:r w:rsidR="00107D2E">
        <w:t>ms with the website or system, it is</w:t>
      </w:r>
      <w:r>
        <w:t xml:space="preserve"> highly recommend</w:t>
      </w:r>
      <w:r w:rsidR="00107D2E">
        <w:t>ed</w:t>
      </w:r>
      <w:r>
        <w:t xml:space="preserve"> that you contact the OVC-PMT Help Desk at </w:t>
      </w:r>
      <w:hyperlink r:id="rId21" w:history="1">
        <w:r>
          <w:rPr>
            <w:rStyle w:val="Hyperlink"/>
          </w:rPr>
          <w:t>ovcpmt@usdoj.gov</w:t>
        </w:r>
      </w:hyperlink>
      <w:r>
        <w:t xml:space="preserve"> or 1-844-884-2503</w:t>
      </w:r>
      <w:proofErr w:type="gramStart"/>
      <w:r>
        <w:t xml:space="preserve">. </w:t>
      </w:r>
      <w:proofErr w:type="gramEnd"/>
      <w:r>
        <w:t>The staff at the Governor’s Crime Commission cannot address any technical issues with the website.  As a reminder, the OVC-PMT website works best when using the Google Chrome browser.</w:t>
      </w:r>
    </w:p>
    <w:p w14:paraId="54E23735" w14:textId="3B6C142E" w:rsidR="007973BA" w:rsidRPr="00B70C03" w:rsidRDefault="007973BA" w:rsidP="00D2403A">
      <w:pPr>
        <w:pStyle w:val="Heading2"/>
      </w:pPr>
      <w:bookmarkStart w:id="42" w:name="_Toc58588105"/>
      <w:r w:rsidRPr="00B70C03">
        <w:lastRenderedPageBreak/>
        <w:t>What are allowable training costs?</w:t>
      </w:r>
      <w:bookmarkEnd w:id="42"/>
    </w:p>
    <w:p w14:paraId="056CD8FB" w14:textId="77777777" w:rsidR="00A55832" w:rsidRDefault="00A55832" w:rsidP="007973BA">
      <w:r>
        <w:t>Training exclusively for developing the skills of direct service providers, including paid staff and volunteers (both VOCA-funded and not), so that they are better able to offer quality direct services, including, but not limited to, manuals, books, videoconferencing, electronic training resources, and other materials and resources related to such training.</w:t>
      </w:r>
    </w:p>
    <w:p w14:paraId="3BCCB7CD" w14:textId="77777777" w:rsidR="00D109CD" w:rsidRDefault="00A55832" w:rsidP="00D109CD">
      <w:r>
        <w:t>Training-related costs such as travel, meals, lodging, and registration fees for paid direct-service staff (both VOCA-funded and not) are also allowed</w:t>
      </w:r>
      <w:proofErr w:type="gramStart"/>
      <w:r>
        <w:t xml:space="preserve">. </w:t>
      </w:r>
      <w:proofErr w:type="gramEnd"/>
      <w:r>
        <w:t>The GCC reserves the right to limit out-of-state conference</w:t>
      </w:r>
      <w:r w:rsidR="00B70C03">
        <w:t>s</w:t>
      </w:r>
      <w:proofErr w:type="gramStart"/>
      <w:r w:rsidR="00B70C03">
        <w:t xml:space="preserve">. </w:t>
      </w:r>
      <w:proofErr w:type="gramEnd"/>
      <w:r w:rsidR="00B70C03">
        <w:t>In general, out-of-state travel is limited to one conference per employee per year</w:t>
      </w:r>
      <w:proofErr w:type="gramStart"/>
      <w:r w:rsidR="00B70C03">
        <w:t>.</w:t>
      </w:r>
      <w:r w:rsidR="00D109CD">
        <w:t xml:space="preserve"> </w:t>
      </w:r>
      <w:proofErr w:type="gramEnd"/>
      <w:r w:rsidR="00D109CD">
        <w:t xml:space="preserve">Even if approved in your application, prior approval from your assigned Grants Manager will be required for out-of-state travel. </w:t>
      </w:r>
    </w:p>
    <w:p w14:paraId="37B40A2A" w14:textId="454C0E45" w:rsidR="007973BA" w:rsidRPr="003A22D4" w:rsidRDefault="007973BA" w:rsidP="00D2403A">
      <w:pPr>
        <w:pStyle w:val="Heading2"/>
      </w:pPr>
      <w:bookmarkStart w:id="43" w:name="_Toc58588106"/>
      <w:r w:rsidRPr="003A22D4">
        <w:t>Can law enforcement agencies apply for VOCA funding?</w:t>
      </w:r>
      <w:bookmarkEnd w:id="43"/>
    </w:p>
    <w:p w14:paraId="10F6CD2B" w14:textId="77777777" w:rsidR="00B34806" w:rsidRPr="00B34806" w:rsidRDefault="00B34806" w:rsidP="007973BA">
      <w:pPr>
        <w:rPr>
          <w:sz w:val="20"/>
        </w:rPr>
      </w:pPr>
      <w:r w:rsidRPr="00B34806">
        <w:rPr>
          <w:szCs w:val="23"/>
        </w:rPr>
        <w:t>Law enforcement agencies may be eligible for VOCA funding for activities that</w:t>
      </w:r>
      <w:r w:rsidR="003A22D4">
        <w:rPr>
          <w:szCs w:val="23"/>
        </w:rPr>
        <w:t xml:space="preserve"> specifically</w:t>
      </w:r>
      <w:r w:rsidRPr="00B34806">
        <w:rPr>
          <w:szCs w:val="23"/>
        </w:rPr>
        <w:t xml:space="preserve"> support victim services</w:t>
      </w:r>
      <w:r w:rsidR="003A22D4">
        <w:rPr>
          <w:szCs w:val="23"/>
        </w:rPr>
        <w:t>, such as emotional support, legal services, and</w:t>
      </w:r>
      <w:r w:rsidRPr="00B34806">
        <w:rPr>
          <w:szCs w:val="23"/>
        </w:rPr>
        <w:t xml:space="preserve"> la</w:t>
      </w:r>
      <w:r w:rsidR="003A22D4">
        <w:rPr>
          <w:szCs w:val="23"/>
        </w:rPr>
        <w:t xml:space="preserve">w enforcement advocate positions.  However, it is important to note that VOCA cannot fund the active investigation and prosecution of criminal activity, except for the provision of victim assistance services to crime victims. </w:t>
      </w:r>
    </w:p>
    <w:p w14:paraId="6729B147" w14:textId="1D950DF8" w:rsidR="007973BA" w:rsidRPr="006859FC" w:rsidRDefault="007973BA" w:rsidP="001C5966">
      <w:pPr>
        <w:pStyle w:val="Heading2"/>
      </w:pPr>
      <w:bookmarkStart w:id="44" w:name="_Toc58588107"/>
      <w:r w:rsidRPr="006859FC">
        <w:t>Can VOCA provide services to offenders or those perpetuating abuse?</w:t>
      </w:r>
      <w:bookmarkEnd w:id="44"/>
    </w:p>
    <w:p w14:paraId="4582D5A5" w14:textId="6B0EB796" w:rsidR="00024FDB" w:rsidRPr="008B0E59" w:rsidRDefault="006859FC" w:rsidP="007973BA">
      <w:r>
        <w:t>VOCA funds cannot be used for perpetrators related to the victimization that they have been found to perpetrate</w:t>
      </w:r>
      <w:proofErr w:type="gramStart"/>
      <w:r>
        <w:t xml:space="preserve">. </w:t>
      </w:r>
      <w:proofErr w:type="gramEnd"/>
      <w:r>
        <w:t>However, if the service is for an offender based on any type of victimization that the</w:t>
      </w:r>
      <w:r w:rsidR="006E23A3">
        <w:t xml:space="preserve"> offender themselves were the victim of</w:t>
      </w:r>
      <w:r>
        <w:t>, VOCA funds may be used to support and provide direct victim services.</w:t>
      </w:r>
      <w:r w:rsidR="003912D0">
        <w:t xml:space="preserve">  VOCA funds may also be used to provide services to incarcerated and formerly incarcerated persons in accordance with these criteria.</w:t>
      </w:r>
    </w:p>
    <w:p w14:paraId="474B0783" w14:textId="7E33833B" w:rsidR="007973BA" w:rsidRPr="0033471E" w:rsidRDefault="007973BA" w:rsidP="001C5966">
      <w:pPr>
        <w:pStyle w:val="Heading2"/>
      </w:pPr>
      <w:bookmarkStart w:id="45" w:name="_Toc58588108"/>
      <w:r w:rsidRPr="0033471E">
        <w:t>Can VOCA funds be used for adaptations and repairs to an existing facility, other than for ADA compliance?</w:t>
      </w:r>
      <w:bookmarkEnd w:id="45"/>
    </w:p>
    <w:p w14:paraId="246C0E00" w14:textId="77777777" w:rsidR="003F366A" w:rsidRDefault="003F366A" w:rsidP="003F366A">
      <w:r>
        <w:t xml:space="preserve">VOCA may be able to fund facility modifications incidental and necessary for the project where the modifications are </w:t>
      </w:r>
      <w:r w:rsidRPr="00D05079">
        <w:rPr>
          <w:u w:val="single"/>
        </w:rPr>
        <w:t>minor</w:t>
      </w:r>
      <w:r>
        <w:t xml:space="preserve"> (i.e., not capital expenses):</w:t>
      </w:r>
    </w:p>
    <w:p w14:paraId="6061CE92" w14:textId="77777777" w:rsidR="003F366A" w:rsidRDefault="003F366A" w:rsidP="003F366A">
      <w:pPr>
        <w:pStyle w:val="ListParagraph"/>
        <w:numPr>
          <w:ilvl w:val="0"/>
          <w:numId w:val="6"/>
        </w:numPr>
      </w:pPr>
      <w:r>
        <w:t xml:space="preserve">Ordinary repairs and maintenance </w:t>
      </w:r>
      <w:r w:rsidR="00D05079">
        <w:t xml:space="preserve">are </w:t>
      </w:r>
      <w:r>
        <w:t>typically minor.</w:t>
      </w:r>
    </w:p>
    <w:p w14:paraId="233E9633" w14:textId="77777777" w:rsidR="003F366A" w:rsidRDefault="003F366A" w:rsidP="003F366A">
      <w:pPr>
        <w:pStyle w:val="ListParagraph"/>
        <w:numPr>
          <w:ilvl w:val="0"/>
          <w:numId w:val="6"/>
        </w:numPr>
      </w:pPr>
      <w:r>
        <w:t>Modifications that do not materially increase the value or useful life of a building are minor.</w:t>
      </w:r>
    </w:p>
    <w:p w14:paraId="3314F03B" w14:textId="77777777" w:rsidR="003F366A" w:rsidRDefault="003F366A" w:rsidP="003F366A">
      <w:pPr>
        <w:pStyle w:val="ListParagraph"/>
        <w:numPr>
          <w:ilvl w:val="0"/>
          <w:numId w:val="6"/>
        </w:numPr>
      </w:pPr>
      <w:r>
        <w:t>Modifications that do not change the basic prior use of a facility or its size (i.e., footprint), are more likely to be minor.</w:t>
      </w:r>
    </w:p>
    <w:p w14:paraId="4550C8C5" w14:textId="77777777" w:rsidR="0033471E" w:rsidRDefault="003F366A" w:rsidP="003F366A">
      <w:pPr>
        <w:pStyle w:val="ListParagraph"/>
        <w:numPr>
          <w:ilvl w:val="0"/>
          <w:numId w:val="6"/>
        </w:numPr>
      </w:pPr>
      <w:r>
        <w:t>Modification costs that are below the organization’s capitalization threshold for real property assets are more likely to be minor.</w:t>
      </w:r>
    </w:p>
    <w:p w14:paraId="47331664" w14:textId="5EB4967D" w:rsidR="0033471E" w:rsidRPr="0033471E" w:rsidRDefault="007973BA" w:rsidP="001C5966">
      <w:pPr>
        <w:pStyle w:val="Heading2"/>
      </w:pPr>
      <w:bookmarkStart w:id="46" w:name="_Toc58588109"/>
      <w:r w:rsidRPr="0033471E">
        <w:t>What types of medications and medical expenses are allowable under VOCA?</w:t>
      </w:r>
      <w:bookmarkEnd w:id="46"/>
      <w:r w:rsidR="0033471E" w:rsidRPr="0033471E">
        <w:t xml:space="preserve"> </w:t>
      </w:r>
    </w:p>
    <w:p w14:paraId="0DEED897" w14:textId="2EA5DAA6" w:rsidR="0033471E" w:rsidRPr="008B0E59" w:rsidRDefault="0033471E" w:rsidP="0033471E">
      <w:r w:rsidRPr="0033471E">
        <w:t>VOCA funds can be used to fund a very limited number of medical expenses</w:t>
      </w:r>
      <w:proofErr w:type="gramStart"/>
      <w:r w:rsidRPr="0033471E">
        <w:t xml:space="preserve">. </w:t>
      </w:r>
      <w:proofErr w:type="gramEnd"/>
      <w:r w:rsidRPr="0033471E">
        <w:t>These costs are often approved on an emergency basis</w:t>
      </w:r>
      <w:r w:rsidR="003912D0">
        <w:t xml:space="preserve"> (generally within </w:t>
      </w:r>
      <w:r w:rsidR="00C24D5A">
        <w:t xml:space="preserve">48 </w:t>
      </w:r>
      <w:r w:rsidR="003912D0">
        <w:t>hours</w:t>
      </w:r>
      <w:r w:rsidR="000D1E80">
        <w:t xml:space="preserve"> of the crime</w:t>
      </w:r>
      <w:r w:rsidR="003912D0">
        <w:t>)</w:t>
      </w:r>
      <w:r w:rsidRPr="0033471E">
        <w:t xml:space="preserve"> and under certain circumstances</w:t>
      </w:r>
      <w:proofErr w:type="gramStart"/>
      <w:r w:rsidRPr="0033471E">
        <w:t xml:space="preserve">. </w:t>
      </w:r>
      <w:proofErr w:type="gramEnd"/>
      <w:r w:rsidRPr="0033471E">
        <w:t>Costs may include prescription and non-prescription medications, prophylactic or other treatment to prevent HIV/AIDS infection or other infectious disease, durable medical equipment, and other healthcare items.</w:t>
      </w:r>
    </w:p>
    <w:p w14:paraId="1EF7DFAA" w14:textId="768EFDEE" w:rsidR="007973BA" w:rsidRPr="00D05079" w:rsidRDefault="007973BA" w:rsidP="001C5966">
      <w:pPr>
        <w:pStyle w:val="Heading2"/>
      </w:pPr>
      <w:bookmarkStart w:id="47" w:name="_Toc58588110"/>
      <w:r w:rsidRPr="00D05079">
        <w:t>Must VOCA-funded services be free of charge?</w:t>
      </w:r>
      <w:bookmarkEnd w:id="47"/>
    </w:p>
    <w:p w14:paraId="264C4930" w14:textId="77777777" w:rsidR="00D05079" w:rsidRPr="00D05079" w:rsidRDefault="00D05079" w:rsidP="007973BA">
      <w:pPr>
        <w:rPr>
          <w:sz w:val="20"/>
        </w:rPr>
      </w:pPr>
      <w:r w:rsidRPr="00D05079">
        <w:rPr>
          <w:szCs w:val="23"/>
        </w:rPr>
        <w:t>Yes</w:t>
      </w:r>
      <w:proofErr w:type="gramStart"/>
      <w:r w:rsidRPr="00D05079">
        <w:rPr>
          <w:szCs w:val="23"/>
        </w:rPr>
        <w:t xml:space="preserve">. </w:t>
      </w:r>
      <w:proofErr w:type="gramEnd"/>
      <w:r w:rsidRPr="00D05079">
        <w:rPr>
          <w:szCs w:val="23"/>
        </w:rPr>
        <w:t>Subrecipients must provide VOCA-funded direct services at no charge</w:t>
      </w:r>
      <w:r>
        <w:rPr>
          <w:szCs w:val="23"/>
        </w:rPr>
        <w:t>.</w:t>
      </w:r>
    </w:p>
    <w:p w14:paraId="57A07467" w14:textId="0F652D72" w:rsidR="007973BA" w:rsidRPr="00D05079" w:rsidRDefault="007973BA" w:rsidP="001C5966">
      <w:pPr>
        <w:pStyle w:val="Heading2"/>
      </w:pPr>
      <w:bookmarkStart w:id="48" w:name="_Toc58588111"/>
      <w:r w:rsidRPr="00D05079">
        <w:lastRenderedPageBreak/>
        <w:t>Can VOCA funds be used to pay for a grant-funded employee's maternity leave</w:t>
      </w:r>
      <w:proofErr w:type="gramStart"/>
      <w:r w:rsidRPr="00D05079">
        <w:t xml:space="preserve">? </w:t>
      </w:r>
      <w:proofErr w:type="gramEnd"/>
      <w:r w:rsidRPr="00D05079">
        <w:t>If so, how would agencies report on activities in OVC-PMT during this time?</w:t>
      </w:r>
      <w:bookmarkEnd w:id="48"/>
    </w:p>
    <w:p w14:paraId="419E7593" w14:textId="77777777" w:rsidR="00D05079" w:rsidRDefault="00D05079" w:rsidP="007973BA">
      <w:r w:rsidRPr="00D05079">
        <w:t>Family leave is explicitly listed in the VOCA rule as an allowable expense</w:t>
      </w:r>
      <w:proofErr w:type="gramStart"/>
      <w:r w:rsidRPr="00D05079">
        <w:t xml:space="preserve">. </w:t>
      </w:r>
      <w:proofErr w:type="gramEnd"/>
      <w:r w:rsidRPr="00D05079">
        <w:t xml:space="preserve">Leave is a fringe benefit that must be allocated equitably to federal and non-federal funding sources and consistently across time periods based on the organization’s account basis (cash or accrual). </w:t>
      </w:r>
    </w:p>
    <w:p w14:paraId="7711604A" w14:textId="77777777" w:rsidR="00D05079" w:rsidRPr="008B0E59" w:rsidRDefault="00D05079" w:rsidP="007973BA">
      <w:r w:rsidRPr="00D05079">
        <w:t>In the PMT you may report on the activity of the position, such that work being done by someone else (even non-VOCA funded) filling in for the employee is counted while the employee is on family leave</w:t>
      </w:r>
      <w:proofErr w:type="gramStart"/>
      <w:r w:rsidRPr="00D05079">
        <w:t xml:space="preserve">. </w:t>
      </w:r>
      <w:proofErr w:type="gramEnd"/>
      <w:r w:rsidRPr="00D05079">
        <w:t>If you decide to count these non-VOCA funded activities in the PMT, you must provide a written response detailing the period of absence within the reporting period and the number of victims served by the non-VOCA funded employee in the “Additional Comments” text box at the end of the reporting form</w:t>
      </w:r>
      <w:r w:rsidR="006F1EB6">
        <w:t>.</w:t>
      </w:r>
    </w:p>
    <w:p w14:paraId="70A7F98E" w14:textId="20DE1147" w:rsidR="007973BA" w:rsidRPr="006F1EB6" w:rsidRDefault="007973BA" w:rsidP="001C5966">
      <w:pPr>
        <w:pStyle w:val="Heading2"/>
      </w:pPr>
      <w:bookmarkStart w:id="49" w:name="_Toc58588112"/>
      <w:r w:rsidRPr="006F1EB6">
        <w:t>I am a dual-service agency who receives the formula allocation for domestic violence and sexual assault</w:t>
      </w:r>
      <w:proofErr w:type="gramStart"/>
      <w:r w:rsidRPr="006F1EB6">
        <w:t xml:space="preserve">. </w:t>
      </w:r>
      <w:proofErr w:type="gramEnd"/>
      <w:r w:rsidRPr="006F1EB6">
        <w:t>How much of my agency's services should be devoted to sexual assault response and advocacy?</w:t>
      </w:r>
      <w:bookmarkEnd w:id="49"/>
      <w:r w:rsidRPr="006F1EB6">
        <w:t xml:space="preserve"> </w:t>
      </w:r>
    </w:p>
    <w:p w14:paraId="771DB465" w14:textId="77777777" w:rsidR="00CD32DC" w:rsidRPr="008B0E59" w:rsidRDefault="00CD32DC" w:rsidP="007973BA">
      <w:r>
        <w:t>Unless otherwise determined by GCC, allocation-based projects for DV/SA service providers is based on the expectation that 50% of the basic services allocation provides services for victims of domestic violence, and 50% provides meaningful services to victims of sexual assault.</w:t>
      </w:r>
    </w:p>
    <w:p w14:paraId="608BF666" w14:textId="450F4CD8" w:rsidR="001C5966" w:rsidRDefault="0047721F" w:rsidP="001C5966">
      <w:pPr>
        <w:pStyle w:val="Heading1"/>
      </w:pPr>
      <w:bookmarkStart w:id="50" w:name="_Toc58588113"/>
      <w:r>
        <w:t>STOP</w:t>
      </w:r>
      <w:r w:rsidR="0026626E" w:rsidRPr="00A60AA6">
        <w:t>-Specific Questions</w:t>
      </w:r>
      <w:bookmarkEnd w:id="50"/>
      <w:r w:rsidR="001C5966" w:rsidRPr="001C5966">
        <w:t xml:space="preserve"> </w:t>
      </w:r>
    </w:p>
    <w:p w14:paraId="74A3EE98" w14:textId="3B3A1061" w:rsidR="007973BA" w:rsidRPr="001C5966" w:rsidRDefault="0047721F" w:rsidP="007973BA">
      <w:r>
        <w:t xml:space="preserve">VAWA’s </w:t>
      </w:r>
      <w:r w:rsidR="00743E97">
        <w:t>Services, Training, Officers and Prosecutors (</w:t>
      </w:r>
      <w:r w:rsidR="001C5966" w:rsidRPr="00DC3635">
        <w:t>STOP</w:t>
      </w:r>
      <w:r w:rsidR="00743E97">
        <w:t>)</w:t>
      </w:r>
      <w:r w:rsidR="001C5966" w:rsidRPr="00DC3635">
        <w:t xml:space="preserve"> </w:t>
      </w:r>
      <w:r>
        <w:t xml:space="preserve">grant </w:t>
      </w:r>
      <w:r w:rsidR="00743E97">
        <w:t xml:space="preserve">program </w:t>
      </w:r>
      <w:r w:rsidR="001C5966" w:rsidRPr="00DC3635">
        <w:t xml:space="preserve">promotes a coordinated, multidisciplinary approach to improving the criminal justice system’s response to violent crimes against women. </w:t>
      </w:r>
      <w:r w:rsidR="001C5966">
        <w:t xml:space="preserve"> </w:t>
      </w:r>
      <w:r w:rsidR="001C5966" w:rsidRPr="00DC3635">
        <w:t>STOP encourages the development and strengthening of effective law enforcement and prosecution strategies to address violent crimes against women and the development and strengthening of victim services in cases involving violent crimes against women</w:t>
      </w:r>
      <w:r w:rsidR="001C5966">
        <w:t>.</w:t>
      </w:r>
    </w:p>
    <w:p w14:paraId="50053661" w14:textId="48777EF6" w:rsidR="00D109CD" w:rsidRDefault="00D109CD" w:rsidP="001C5966">
      <w:pPr>
        <w:pStyle w:val="Heading2"/>
      </w:pPr>
      <w:bookmarkStart w:id="51" w:name="_Toc58588114"/>
      <w:r>
        <w:t>How much funding will be available for each federally mandated allocation category?</w:t>
      </w:r>
      <w:bookmarkEnd w:id="51"/>
    </w:p>
    <w:p w14:paraId="7303F623" w14:textId="1B13B8B8" w:rsidR="00D109CD" w:rsidRDefault="00D109CD" w:rsidP="00D109CD">
      <w:r>
        <w:t xml:space="preserve">GCC does not know the </w:t>
      </w:r>
      <w:r w:rsidR="00714A41">
        <w:t xml:space="preserve">exact </w:t>
      </w:r>
      <w:r>
        <w:t xml:space="preserve">amount of </w:t>
      </w:r>
      <w:r w:rsidR="0072348D">
        <w:t xml:space="preserve">the federal allocation for the following year at the time applications are accepted.  </w:t>
      </w:r>
      <w:r w:rsidR="00714A41">
        <w:t xml:space="preserve">We have projected the </w:t>
      </w:r>
      <w:r w:rsidR="003912D0">
        <w:t>following</w:t>
      </w:r>
      <w:r w:rsidR="00714A41">
        <w:t xml:space="preserve"> funding levels</w:t>
      </w:r>
      <w:r w:rsidR="003912D0">
        <w:t xml:space="preserve"> for FY2021, but these projections are not guaranteed to be correct</w:t>
      </w:r>
      <w:r w:rsidR="00714A41">
        <w:t>.</w:t>
      </w:r>
    </w:p>
    <w:tbl>
      <w:tblPr>
        <w:tblStyle w:val="TableGrid"/>
        <w:tblW w:w="8871" w:type="dxa"/>
        <w:tblInd w:w="-185" w:type="dxa"/>
        <w:tblLook w:val="04A0" w:firstRow="1" w:lastRow="0" w:firstColumn="1" w:lastColumn="0" w:noHBand="0" w:noVBand="1"/>
      </w:tblPr>
      <w:tblGrid>
        <w:gridCol w:w="1186"/>
        <w:gridCol w:w="2054"/>
        <w:gridCol w:w="1743"/>
        <w:gridCol w:w="2271"/>
        <w:gridCol w:w="1617"/>
      </w:tblGrid>
      <w:tr w:rsidR="00714A41" w:rsidRPr="00123810" w14:paraId="23CE8887" w14:textId="77777777" w:rsidTr="00B42F31">
        <w:trPr>
          <w:trHeight w:val="630"/>
        </w:trPr>
        <w:tc>
          <w:tcPr>
            <w:tcW w:w="1186" w:type="dxa"/>
          </w:tcPr>
          <w:p w14:paraId="794230B1" w14:textId="77777777" w:rsidR="00714A41" w:rsidRPr="00123810" w:rsidRDefault="00714A41" w:rsidP="00B42F31">
            <w:pPr>
              <w:autoSpaceDE w:val="0"/>
              <w:autoSpaceDN w:val="0"/>
              <w:adjustRightInd w:val="0"/>
              <w:jc w:val="center"/>
              <w:rPr>
                <w:rFonts w:cstheme="minorHAnsi"/>
                <w:b/>
                <w:sz w:val="23"/>
                <w:szCs w:val="23"/>
              </w:rPr>
            </w:pPr>
            <w:bookmarkStart w:id="52" w:name="_Hlk49336001"/>
            <w:r w:rsidRPr="00123810">
              <w:rPr>
                <w:rFonts w:cstheme="minorHAnsi"/>
                <w:b/>
                <w:sz w:val="23"/>
                <w:szCs w:val="23"/>
              </w:rPr>
              <w:t>Minimum Allocation</w:t>
            </w:r>
          </w:p>
        </w:tc>
        <w:tc>
          <w:tcPr>
            <w:tcW w:w="2054" w:type="dxa"/>
          </w:tcPr>
          <w:p w14:paraId="7B52E50B" w14:textId="77777777" w:rsidR="00714A41" w:rsidRPr="00123810" w:rsidRDefault="00714A41" w:rsidP="00B42F31">
            <w:pPr>
              <w:autoSpaceDE w:val="0"/>
              <w:autoSpaceDN w:val="0"/>
              <w:adjustRightInd w:val="0"/>
              <w:jc w:val="center"/>
              <w:rPr>
                <w:rFonts w:cstheme="minorHAnsi"/>
                <w:b/>
                <w:sz w:val="23"/>
                <w:szCs w:val="23"/>
              </w:rPr>
            </w:pPr>
            <w:r w:rsidRPr="00123810">
              <w:rPr>
                <w:rFonts w:cstheme="minorHAnsi"/>
                <w:b/>
                <w:sz w:val="23"/>
                <w:szCs w:val="23"/>
              </w:rPr>
              <w:t>Priority</w:t>
            </w:r>
          </w:p>
        </w:tc>
        <w:tc>
          <w:tcPr>
            <w:tcW w:w="1743" w:type="dxa"/>
          </w:tcPr>
          <w:p w14:paraId="3629C2D2" w14:textId="77777777" w:rsidR="00714A41" w:rsidRPr="00123810" w:rsidRDefault="00714A41" w:rsidP="00B42F31">
            <w:pPr>
              <w:autoSpaceDE w:val="0"/>
              <w:autoSpaceDN w:val="0"/>
              <w:adjustRightInd w:val="0"/>
              <w:jc w:val="center"/>
              <w:rPr>
                <w:rFonts w:cstheme="minorHAnsi"/>
                <w:b/>
                <w:sz w:val="23"/>
                <w:szCs w:val="23"/>
              </w:rPr>
            </w:pPr>
            <w:r>
              <w:rPr>
                <w:rFonts w:cstheme="minorHAnsi"/>
                <w:b/>
                <w:sz w:val="23"/>
                <w:szCs w:val="23"/>
              </w:rPr>
              <w:t>Projected 2021 Funding*</w:t>
            </w:r>
          </w:p>
        </w:tc>
        <w:tc>
          <w:tcPr>
            <w:tcW w:w="3888" w:type="dxa"/>
            <w:gridSpan w:val="2"/>
          </w:tcPr>
          <w:p w14:paraId="7B23B473" w14:textId="77777777" w:rsidR="00714A41" w:rsidRDefault="00714A41" w:rsidP="00B42F31">
            <w:pPr>
              <w:autoSpaceDE w:val="0"/>
              <w:autoSpaceDN w:val="0"/>
              <w:adjustRightInd w:val="0"/>
              <w:jc w:val="center"/>
              <w:rPr>
                <w:rFonts w:cstheme="minorHAnsi"/>
                <w:b/>
                <w:sz w:val="23"/>
                <w:szCs w:val="23"/>
              </w:rPr>
            </w:pPr>
            <w:r w:rsidRPr="00123810">
              <w:rPr>
                <w:rFonts w:cstheme="minorHAnsi"/>
                <w:b/>
                <w:sz w:val="23"/>
                <w:szCs w:val="23"/>
              </w:rPr>
              <w:t>Focus Area</w:t>
            </w:r>
            <w:r>
              <w:rPr>
                <w:rFonts w:cstheme="minorHAnsi"/>
                <w:b/>
                <w:sz w:val="23"/>
                <w:szCs w:val="23"/>
              </w:rPr>
              <w:t>s</w:t>
            </w:r>
          </w:p>
        </w:tc>
      </w:tr>
      <w:tr w:rsidR="00714A41" w:rsidRPr="00123810" w14:paraId="710D2593" w14:textId="77777777" w:rsidTr="00B42F31">
        <w:trPr>
          <w:trHeight w:val="1245"/>
        </w:trPr>
        <w:tc>
          <w:tcPr>
            <w:tcW w:w="1186" w:type="dxa"/>
          </w:tcPr>
          <w:p w14:paraId="45587A7C" w14:textId="77777777" w:rsidR="00714A41" w:rsidRPr="00123810" w:rsidRDefault="00714A41" w:rsidP="00B42F31">
            <w:pPr>
              <w:autoSpaceDE w:val="0"/>
              <w:autoSpaceDN w:val="0"/>
              <w:adjustRightInd w:val="0"/>
              <w:jc w:val="center"/>
              <w:rPr>
                <w:rFonts w:cstheme="minorHAnsi"/>
                <w:sz w:val="23"/>
                <w:szCs w:val="23"/>
              </w:rPr>
            </w:pPr>
            <w:r w:rsidRPr="00123810">
              <w:rPr>
                <w:rFonts w:cstheme="minorHAnsi"/>
                <w:sz w:val="23"/>
                <w:szCs w:val="23"/>
              </w:rPr>
              <w:t>30%</w:t>
            </w:r>
          </w:p>
        </w:tc>
        <w:tc>
          <w:tcPr>
            <w:tcW w:w="2054" w:type="dxa"/>
          </w:tcPr>
          <w:p w14:paraId="6E5FBFE9" w14:textId="77777777" w:rsidR="00714A41" w:rsidRPr="00123810" w:rsidRDefault="00714A41" w:rsidP="00B42F31">
            <w:pPr>
              <w:autoSpaceDE w:val="0"/>
              <w:autoSpaceDN w:val="0"/>
              <w:adjustRightInd w:val="0"/>
              <w:rPr>
                <w:rFonts w:cstheme="minorHAnsi"/>
                <w:sz w:val="23"/>
                <w:szCs w:val="23"/>
              </w:rPr>
            </w:pPr>
            <w:r w:rsidRPr="00123810">
              <w:rPr>
                <w:rFonts w:cstheme="minorHAnsi"/>
                <w:sz w:val="23"/>
                <w:szCs w:val="23"/>
              </w:rPr>
              <w:t>Victims Services</w:t>
            </w:r>
          </w:p>
        </w:tc>
        <w:tc>
          <w:tcPr>
            <w:tcW w:w="1743" w:type="dxa"/>
            <w:tcBorders>
              <w:bottom w:val="single" w:sz="4" w:space="0" w:color="auto"/>
            </w:tcBorders>
          </w:tcPr>
          <w:p w14:paraId="6A5237D1" w14:textId="77777777" w:rsidR="00714A41" w:rsidRDefault="00714A41" w:rsidP="00B42F31">
            <w:pPr>
              <w:autoSpaceDE w:val="0"/>
              <w:autoSpaceDN w:val="0"/>
              <w:adjustRightInd w:val="0"/>
              <w:rPr>
                <w:rFonts w:cstheme="minorHAnsi"/>
                <w:sz w:val="23"/>
                <w:szCs w:val="23"/>
              </w:rPr>
            </w:pPr>
            <w:r>
              <w:rPr>
                <w:rFonts w:cstheme="minorHAnsi"/>
                <w:sz w:val="23"/>
                <w:szCs w:val="23"/>
              </w:rPr>
              <w:t>$1,174,651</w:t>
            </w:r>
          </w:p>
          <w:p w14:paraId="6F343599" w14:textId="77777777" w:rsidR="00714A41" w:rsidRPr="00123810" w:rsidRDefault="00714A41" w:rsidP="00B42F31">
            <w:pPr>
              <w:autoSpaceDE w:val="0"/>
              <w:autoSpaceDN w:val="0"/>
              <w:adjustRightInd w:val="0"/>
              <w:rPr>
                <w:rFonts w:cstheme="minorHAnsi"/>
                <w:sz w:val="23"/>
                <w:szCs w:val="23"/>
              </w:rPr>
            </w:pPr>
          </w:p>
        </w:tc>
        <w:tc>
          <w:tcPr>
            <w:tcW w:w="2271" w:type="dxa"/>
            <w:tcBorders>
              <w:bottom w:val="single" w:sz="4" w:space="0" w:color="auto"/>
            </w:tcBorders>
          </w:tcPr>
          <w:p w14:paraId="40F92545" w14:textId="77777777" w:rsidR="00714A41" w:rsidRPr="00123810" w:rsidRDefault="00714A41" w:rsidP="00B42F31">
            <w:pPr>
              <w:autoSpaceDE w:val="0"/>
              <w:autoSpaceDN w:val="0"/>
              <w:adjustRightInd w:val="0"/>
              <w:rPr>
                <w:rFonts w:cstheme="minorHAnsi"/>
                <w:sz w:val="23"/>
                <w:szCs w:val="23"/>
              </w:rPr>
            </w:pPr>
            <w:r w:rsidRPr="00123810">
              <w:rPr>
                <w:rFonts w:cstheme="minorHAnsi"/>
                <w:sz w:val="23"/>
                <w:szCs w:val="23"/>
              </w:rPr>
              <w:t>Of t</w:t>
            </w:r>
            <w:r>
              <w:rPr>
                <w:rFonts w:cstheme="minorHAnsi"/>
                <w:sz w:val="23"/>
                <w:szCs w:val="23"/>
              </w:rPr>
              <w:t>he 30% for Victim Services</w:t>
            </w:r>
            <w:r w:rsidRPr="00123810">
              <w:rPr>
                <w:rFonts w:cstheme="minorHAnsi"/>
                <w:sz w:val="23"/>
                <w:szCs w:val="23"/>
              </w:rPr>
              <w:t xml:space="preserve">, at least </w:t>
            </w:r>
            <w:r w:rsidRPr="008F066D">
              <w:rPr>
                <w:rFonts w:cstheme="minorHAnsi"/>
                <w:sz w:val="23"/>
                <w:szCs w:val="23"/>
              </w:rPr>
              <w:t xml:space="preserve">10% ($117,465.00 projected) </w:t>
            </w:r>
            <w:r w:rsidRPr="00123810">
              <w:rPr>
                <w:rFonts w:cstheme="minorHAnsi"/>
                <w:sz w:val="23"/>
                <w:szCs w:val="23"/>
              </w:rPr>
              <w:t xml:space="preserve">must support programs that provide </w:t>
            </w:r>
            <w:r w:rsidRPr="00123810">
              <w:rPr>
                <w:rFonts w:cstheme="minorHAnsi"/>
                <w:sz w:val="23"/>
                <w:szCs w:val="23"/>
                <w:u w:val="single"/>
              </w:rPr>
              <w:t>culturally specific and culturally competent services</w:t>
            </w:r>
            <w:r w:rsidRPr="00123810">
              <w:rPr>
                <w:rFonts w:cstheme="minorHAnsi"/>
                <w:sz w:val="23"/>
                <w:szCs w:val="23"/>
              </w:rPr>
              <w:t xml:space="preserve"> designed to meet the needs of </w:t>
            </w:r>
            <w:r w:rsidRPr="00123810">
              <w:rPr>
                <w:rFonts w:cstheme="minorHAnsi"/>
                <w:b/>
                <w:sz w:val="23"/>
                <w:szCs w:val="23"/>
              </w:rPr>
              <w:t xml:space="preserve">specific racial and ethnic minority </w:t>
            </w:r>
            <w:r w:rsidRPr="00123810">
              <w:rPr>
                <w:rFonts w:cstheme="minorHAnsi"/>
                <w:b/>
                <w:sz w:val="23"/>
                <w:szCs w:val="23"/>
              </w:rPr>
              <w:lastRenderedPageBreak/>
              <w:t>groups</w:t>
            </w:r>
            <w:r w:rsidRPr="00CD3304">
              <w:rPr>
                <w:rFonts w:cstheme="minorHAnsi"/>
                <w:sz w:val="23"/>
                <w:szCs w:val="23"/>
              </w:rPr>
              <w:t xml:space="preserve"> in the victim services priority.</w:t>
            </w:r>
          </w:p>
        </w:tc>
        <w:tc>
          <w:tcPr>
            <w:tcW w:w="1617" w:type="dxa"/>
            <w:vMerge w:val="restart"/>
            <w:vAlign w:val="center"/>
          </w:tcPr>
          <w:p w14:paraId="3117971E" w14:textId="77777777" w:rsidR="00714A41" w:rsidRDefault="00714A41" w:rsidP="00B42F31">
            <w:pPr>
              <w:autoSpaceDE w:val="0"/>
              <w:autoSpaceDN w:val="0"/>
              <w:adjustRightInd w:val="0"/>
              <w:rPr>
                <w:rFonts w:cstheme="minorHAnsi"/>
                <w:sz w:val="23"/>
                <w:szCs w:val="23"/>
              </w:rPr>
            </w:pPr>
            <w:bookmarkStart w:id="53" w:name="_Hlk47695265"/>
            <w:r w:rsidRPr="00123810">
              <w:rPr>
                <w:rFonts w:cstheme="minorHAnsi"/>
                <w:sz w:val="23"/>
                <w:szCs w:val="23"/>
              </w:rPr>
              <w:lastRenderedPageBreak/>
              <w:t>At least 20%</w:t>
            </w:r>
            <w:r>
              <w:rPr>
                <w:rFonts w:cstheme="minorHAnsi"/>
                <w:sz w:val="23"/>
                <w:szCs w:val="23"/>
              </w:rPr>
              <w:t xml:space="preserve"> ($870,112 projected) </w:t>
            </w:r>
            <w:r w:rsidRPr="00123810">
              <w:rPr>
                <w:rFonts w:cstheme="minorHAnsi"/>
                <w:sz w:val="23"/>
                <w:szCs w:val="23"/>
              </w:rPr>
              <w:t xml:space="preserve">of the total award must be set aside for projects that </w:t>
            </w:r>
            <w:r>
              <w:rPr>
                <w:rFonts w:cstheme="minorHAnsi"/>
                <w:sz w:val="23"/>
                <w:szCs w:val="23"/>
              </w:rPr>
              <w:t xml:space="preserve">solely and </w:t>
            </w:r>
            <w:r w:rsidRPr="008F066D">
              <w:rPr>
                <w:rFonts w:cstheme="minorHAnsi"/>
                <w:b/>
                <w:sz w:val="23"/>
                <w:szCs w:val="23"/>
              </w:rPr>
              <w:t>meaningfully address</w:t>
            </w:r>
            <w:r w:rsidRPr="009A561B">
              <w:rPr>
                <w:rFonts w:cstheme="minorHAnsi"/>
                <w:sz w:val="23"/>
                <w:szCs w:val="23"/>
              </w:rPr>
              <w:t xml:space="preserve"> </w:t>
            </w:r>
            <w:r>
              <w:rPr>
                <w:rFonts w:cstheme="minorHAnsi"/>
                <w:b/>
                <w:sz w:val="23"/>
                <w:szCs w:val="23"/>
              </w:rPr>
              <w:t>sexual assault</w:t>
            </w:r>
            <w:r w:rsidRPr="009A561B">
              <w:rPr>
                <w:rFonts w:cstheme="minorHAnsi"/>
                <w:sz w:val="23"/>
                <w:szCs w:val="23"/>
              </w:rPr>
              <w:t xml:space="preserve"> in at least two of </w:t>
            </w:r>
            <w:r w:rsidRPr="009A561B">
              <w:rPr>
                <w:rFonts w:cstheme="minorHAnsi"/>
                <w:sz w:val="23"/>
                <w:szCs w:val="23"/>
              </w:rPr>
              <w:lastRenderedPageBreak/>
              <w:t>the</w:t>
            </w:r>
            <w:r>
              <w:rPr>
                <w:rFonts w:cstheme="minorHAnsi"/>
                <w:sz w:val="23"/>
                <w:szCs w:val="23"/>
              </w:rPr>
              <w:t xml:space="preserve">se </w:t>
            </w:r>
            <w:r w:rsidRPr="009A561B">
              <w:rPr>
                <w:rFonts w:cstheme="minorHAnsi"/>
                <w:sz w:val="23"/>
                <w:szCs w:val="23"/>
              </w:rPr>
              <w:t>funding allocation categori</w:t>
            </w:r>
            <w:r>
              <w:rPr>
                <w:rFonts w:cstheme="minorHAnsi"/>
                <w:sz w:val="23"/>
                <w:szCs w:val="23"/>
              </w:rPr>
              <w:t>es</w:t>
            </w:r>
            <w:r w:rsidRPr="00123810">
              <w:rPr>
                <w:rFonts w:cstheme="minorHAnsi"/>
                <w:sz w:val="23"/>
                <w:szCs w:val="23"/>
              </w:rPr>
              <w:t>.</w:t>
            </w:r>
            <w:bookmarkEnd w:id="53"/>
          </w:p>
        </w:tc>
      </w:tr>
      <w:tr w:rsidR="00714A41" w:rsidRPr="00123810" w14:paraId="15A97FC1" w14:textId="77777777" w:rsidTr="00B42F31">
        <w:trPr>
          <w:trHeight w:val="614"/>
        </w:trPr>
        <w:tc>
          <w:tcPr>
            <w:tcW w:w="1186" w:type="dxa"/>
          </w:tcPr>
          <w:p w14:paraId="206763C7" w14:textId="77777777" w:rsidR="00714A41" w:rsidRPr="00123810" w:rsidRDefault="00714A41" w:rsidP="00B42F31">
            <w:pPr>
              <w:autoSpaceDE w:val="0"/>
              <w:autoSpaceDN w:val="0"/>
              <w:adjustRightInd w:val="0"/>
              <w:jc w:val="center"/>
              <w:rPr>
                <w:rFonts w:cstheme="minorHAnsi"/>
                <w:sz w:val="23"/>
                <w:szCs w:val="23"/>
              </w:rPr>
            </w:pPr>
            <w:r w:rsidRPr="00123810">
              <w:rPr>
                <w:rFonts w:cstheme="minorHAnsi"/>
                <w:sz w:val="23"/>
                <w:szCs w:val="23"/>
              </w:rPr>
              <w:lastRenderedPageBreak/>
              <w:t>25%</w:t>
            </w:r>
          </w:p>
        </w:tc>
        <w:tc>
          <w:tcPr>
            <w:tcW w:w="2054" w:type="dxa"/>
          </w:tcPr>
          <w:p w14:paraId="396B8802" w14:textId="77777777" w:rsidR="00714A41" w:rsidRPr="00123810" w:rsidRDefault="00714A41" w:rsidP="00B42F31">
            <w:pPr>
              <w:autoSpaceDE w:val="0"/>
              <w:autoSpaceDN w:val="0"/>
              <w:adjustRightInd w:val="0"/>
              <w:rPr>
                <w:rFonts w:cstheme="minorHAnsi"/>
                <w:sz w:val="23"/>
                <w:szCs w:val="23"/>
              </w:rPr>
            </w:pPr>
            <w:r w:rsidRPr="00123810">
              <w:rPr>
                <w:rFonts w:cstheme="minorHAnsi"/>
                <w:sz w:val="23"/>
                <w:szCs w:val="23"/>
              </w:rPr>
              <w:t>Law Enforcement</w:t>
            </w:r>
          </w:p>
        </w:tc>
        <w:tc>
          <w:tcPr>
            <w:tcW w:w="1743" w:type="dxa"/>
            <w:tcBorders>
              <w:right w:val="nil"/>
            </w:tcBorders>
            <w:shd w:val="clear" w:color="auto" w:fill="auto"/>
          </w:tcPr>
          <w:p w14:paraId="6D4D8FD6" w14:textId="77777777" w:rsidR="00714A41" w:rsidRPr="00123810" w:rsidRDefault="00714A41" w:rsidP="00B42F31">
            <w:pPr>
              <w:autoSpaceDE w:val="0"/>
              <w:autoSpaceDN w:val="0"/>
              <w:adjustRightInd w:val="0"/>
              <w:rPr>
                <w:rFonts w:cstheme="minorHAnsi"/>
                <w:sz w:val="23"/>
                <w:szCs w:val="23"/>
              </w:rPr>
            </w:pPr>
            <w:r>
              <w:rPr>
                <w:rFonts w:cstheme="minorHAnsi"/>
                <w:sz w:val="23"/>
                <w:szCs w:val="23"/>
              </w:rPr>
              <w:t>$978,876</w:t>
            </w:r>
          </w:p>
        </w:tc>
        <w:tc>
          <w:tcPr>
            <w:tcW w:w="2271" w:type="dxa"/>
            <w:tcBorders>
              <w:left w:val="nil"/>
              <w:bottom w:val="nil"/>
            </w:tcBorders>
            <w:shd w:val="clear" w:color="auto" w:fill="A6A6A6" w:themeFill="background1" w:themeFillShade="A6"/>
          </w:tcPr>
          <w:p w14:paraId="53940026" w14:textId="77777777" w:rsidR="00714A41" w:rsidRPr="00123810" w:rsidRDefault="00714A41" w:rsidP="00B42F31">
            <w:pPr>
              <w:autoSpaceDE w:val="0"/>
              <w:autoSpaceDN w:val="0"/>
              <w:adjustRightInd w:val="0"/>
              <w:rPr>
                <w:rFonts w:cstheme="minorHAnsi"/>
                <w:sz w:val="23"/>
                <w:szCs w:val="23"/>
              </w:rPr>
            </w:pPr>
          </w:p>
        </w:tc>
        <w:tc>
          <w:tcPr>
            <w:tcW w:w="1617" w:type="dxa"/>
            <w:vMerge/>
          </w:tcPr>
          <w:p w14:paraId="6FD691EF" w14:textId="77777777" w:rsidR="00714A41" w:rsidRDefault="00714A41" w:rsidP="00B42F31">
            <w:pPr>
              <w:autoSpaceDE w:val="0"/>
              <w:autoSpaceDN w:val="0"/>
              <w:adjustRightInd w:val="0"/>
              <w:rPr>
                <w:rFonts w:cstheme="minorHAnsi"/>
                <w:sz w:val="23"/>
                <w:szCs w:val="23"/>
              </w:rPr>
            </w:pPr>
          </w:p>
        </w:tc>
      </w:tr>
      <w:tr w:rsidR="00714A41" w:rsidRPr="00123810" w14:paraId="2D12D04C" w14:textId="77777777" w:rsidTr="00B42F31">
        <w:trPr>
          <w:trHeight w:val="355"/>
        </w:trPr>
        <w:tc>
          <w:tcPr>
            <w:tcW w:w="1186" w:type="dxa"/>
          </w:tcPr>
          <w:p w14:paraId="2296C164" w14:textId="77777777" w:rsidR="00714A41" w:rsidRPr="00123810" w:rsidRDefault="00714A41" w:rsidP="00B42F31">
            <w:pPr>
              <w:autoSpaceDE w:val="0"/>
              <w:autoSpaceDN w:val="0"/>
              <w:adjustRightInd w:val="0"/>
              <w:jc w:val="center"/>
              <w:rPr>
                <w:rFonts w:cstheme="minorHAnsi"/>
                <w:sz w:val="23"/>
                <w:szCs w:val="23"/>
              </w:rPr>
            </w:pPr>
            <w:r w:rsidRPr="00123810">
              <w:rPr>
                <w:rFonts w:cstheme="minorHAnsi"/>
                <w:sz w:val="23"/>
                <w:szCs w:val="23"/>
              </w:rPr>
              <w:t>25%</w:t>
            </w:r>
          </w:p>
        </w:tc>
        <w:tc>
          <w:tcPr>
            <w:tcW w:w="2054" w:type="dxa"/>
          </w:tcPr>
          <w:p w14:paraId="0C85EE9A" w14:textId="77777777" w:rsidR="00714A41" w:rsidRPr="00123810" w:rsidRDefault="00714A41" w:rsidP="00B42F31">
            <w:pPr>
              <w:autoSpaceDE w:val="0"/>
              <w:autoSpaceDN w:val="0"/>
              <w:adjustRightInd w:val="0"/>
              <w:rPr>
                <w:rFonts w:cstheme="minorHAnsi"/>
                <w:sz w:val="23"/>
                <w:szCs w:val="23"/>
              </w:rPr>
            </w:pPr>
            <w:r w:rsidRPr="00123810">
              <w:rPr>
                <w:rFonts w:cstheme="minorHAnsi"/>
                <w:sz w:val="23"/>
                <w:szCs w:val="23"/>
              </w:rPr>
              <w:t>Prosecution</w:t>
            </w:r>
          </w:p>
        </w:tc>
        <w:tc>
          <w:tcPr>
            <w:tcW w:w="1743" w:type="dxa"/>
            <w:tcBorders>
              <w:right w:val="nil"/>
            </w:tcBorders>
            <w:shd w:val="clear" w:color="auto" w:fill="auto"/>
          </w:tcPr>
          <w:p w14:paraId="091F322F" w14:textId="77777777" w:rsidR="00714A41" w:rsidRPr="00123810" w:rsidRDefault="00714A41" w:rsidP="00B42F31">
            <w:pPr>
              <w:autoSpaceDE w:val="0"/>
              <w:autoSpaceDN w:val="0"/>
              <w:adjustRightInd w:val="0"/>
              <w:rPr>
                <w:rFonts w:cstheme="minorHAnsi"/>
                <w:sz w:val="23"/>
                <w:szCs w:val="23"/>
              </w:rPr>
            </w:pPr>
            <w:r>
              <w:rPr>
                <w:rFonts w:cstheme="minorHAnsi"/>
                <w:sz w:val="23"/>
                <w:szCs w:val="23"/>
              </w:rPr>
              <w:t>$978,876</w:t>
            </w:r>
          </w:p>
        </w:tc>
        <w:tc>
          <w:tcPr>
            <w:tcW w:w="2271" w:type="dxa"/>
            <w:tcBorders>
              <w:top w:val="nil"/>
              <w:left w:val="nil"/>
              <w:bottom w:val="nil"/>
            </w:tcBorders>
            <w:shd w:val="clear" w:color="auto" w:fill="A6A6A6" w:themeFill="background1" w:themeFillShade="A6"/>
          </w:tcPr>
          <w:p w14:paraId="0CD4FD4F" w14:textId="77777777" w:rsidR="00714A41" w:rsidRPr="00123810" w:rsidRDefault="00714A41" w:rsidP="00B42F31">
            <w:pPr>
              <w:autoSpaceDE w:val="0"/>
              <w:autoSpaceDN w:val="0"/>
              <w:adjustRightInd w:val="0"/>
              <w:rPr>
                <w:rFonts w:cstheme="minorHAnsi"/>
                <w:sz w:val="23"/>
                <w:szCs w:val="23"/>
              </w:rPr>
            </w:pPr>
          </w:p>
        </w:tc>
        <w:tc>
          <w:tcPr>
            <w:tcW w:w="1617" w:type="dxa"/>
            <w:vMerge/>
          </w:tcPr>
          <w:p w14:paraId="62067712" w14:textId="77777777" w:rsidR="00714A41" w:rsidRDefault="00714A41" w:rsidP="00B42F31">
            <w:pPr>
              <w:autoSpaceDE w:val="0"/>
              <w:autoSpaceDN w:val="0"/>
              <w:adjustRightInd w:val="0"/>
              <w:rPr>
                <w:rFonts w:cstheme="minorHAnsi"/>
                <w:sz w:val="23"/>
                <w:szCs w:val="23"/>
              </w:rPr>
            </w:pPr>
          </w:p>
        </w:tc>
      </w:tr>
      <w:tr w:rsidR="00714A41" w:rsidRPr="00123810" w14:paraId="5AF80CFD" w14:textId="77777777" w:rsidTr="00B42F31">
        <w:trPr>
          <w:trHeight w:val="629"/>
        </w:trPr>
        <w:tc>
          <w:tcPr>
            <w:tcW w:w="1186" w:type="dxa"/>
          </w:tcPr>
          <w:p w14:paraId="45CDB685" w14:textId="77777777" w:rsidR="00714A41" w:rsidRPr="00123810" w:rsidRDefault="00714A41" w:rsidP="00B42F31">
            <w:pPr>
              <w:autoSpaceDE w:val="0"/>
              <w:autoSpaceDN w:val="0"/>
              <w:adjustRightInd w:val="0"/>
              <w:jc w:val="center"/>
              <w:rPr>
                <w:rFonts w:cstheme="minorHAnsi"/>
                <w:sz w:val="23"/>
                <w:szCs w:val="23"/>
              </w:rPr>
            </w:pPr>
            <w:r w:rsidRPr="00123810">
              <w:rPr>
                <w:rFonts w:cstheme="minorHAnsi"/>
                <w:sz w:val="23"/>
                <w:szCs w:val="23"/>
              </w:rPr>
              <w:t>5%</w:t>
            </w:r>
          </w:p>
        </w:tc>
        <w:tc>
          <w:tcPr>
            <w:tcW w:w="2054" w:type="dxa"/>
          </w:tcPr>
          <w:p w14:paraId="7FDFEE05" w14:textId="77777777" w:rsidR="00714A41" w:rsidRPr="00123810" w:rsidRDefault="00714A41" w:rsidP="00B42F31">
            <w:pPr>
              <w:autoSpaceDE w:val="0"/>
              <w:autoSpaceDN w:val="0"/>
              <w:adjustRightInd w:val="0"/>
              <w:rPr>
                <w:rFonts w:cstheme="minorHAnsi"/>
                <w:sz w:val="23"/>
                <w:szCs w:val="23"/>
              </w:rPr>
            </w:pPr>
            <w:r w:rsidRPr="00123810">
              <w:rPr>
                <w:rFonts w:cstheme="minorHAnsi"/>
                <w:sz w:val="23"/>
                <w:szCs w:val="23"/>
              </w:rPr>
              <w:t>State and Local Courts</w:t>
            </w:r>
          </w:p>
        </w:tc>
        <w:tc>
          <w:tcPr>
            <w:tcW w:w="1743" w:type="dxa"/>
            <w:tcBorders>
              <w:right w:val="nil"/>
            </w:tcBorders>
            <w:shd w:val="clear" w:color="auto" w:fill="auto"/>
          </w:tcPr>
          <w:p w14:paraId="4CBB30A0" w14:textId="77777777" w:rsidR="00714A41" w:rsidRPr="00123810" w:rsidRDefault="00714A41" w:rsidP="00B42F31">
            <w:pPr>
              <w:autoSpaceDE w:val="0"/>
              <w:autoSpaceDN w:val="0"/>
              <w:adjustRightInd w:val="0"/>
              <w:rPr>
                <w:rFonts w:cstheme="minorHAnsi"/>
                <w:sz w:val="23"/>
                <w:szCs w:val="23"/>
              </w:rPr>
            </w:pPr>
            <w:r>
              <w:rPr>
                <w:rFonts w:cstheme="minorHAnsi"/>
                <w:sz w:val="23"/>
                <w:szCs w:val="23"/>
              </w:rPr>
              <w:t>$195,775</w:t>
            </w:r>
          </w:p>
        </w:tc>
        <w:tc>
          <w:tcPr>
            <w:tcW w:w="2271" w:type="dxa"/>
            <w:tcBorders>
              <w:top w:val="nil"/>
              <w:left w:val="nil"/>
              <w:bottom w:val="single" w:sz="4" w:space="0" w:color="auto"/>
            </w:tcBorders>
            <w:shd w:val="clear" w:color="auto" w:fill="A6A6A6" w:themeFill="background1" w:themeFillShade="A6"/>
          </w:tcPr>
          <w:p w14:paraId="444538E0" w14:textId="77777777" w:rsidR="00714A41" w:rsidRPr="00123810" w:rsidRDefault="00714A41" w:rsidP="00B42F31">
            <w:pPr>
              <w:autoSpaceDE w:val="0"/>
              <w:autoSpaceDN w:val="0"/>
              <w:adjustRightInd w:val="0"/>
              <w:rPr>
                <w:rFonts w:cstheme="minorHAnsi"/>
                <w:sz w:val="23"/>
                <w:szCs w:val="23"/>
              </w:rPr>
            </w:pPr>
          </w:p>
        </w:tc>
        <w:tc>
          <w:tcPr>
            <w:tcW w:w="1617" w:type="dxa"/>
            <w:vMerge/>
            <w:tcBorders>
              <w:bottom w:val="single" w:sz="4" w:space="0" w:color="auto"/>
            </w:tcBorders>
          </w:tcPr>
          <w:p w14:paraId="2EA3BF8B" w14:textId="77777777" w:rsidR="00714A41" w:rsidRDefault="00714A41" w:rsidP="00B42F31">
            <w:pPr>
              <w:autoSpaceDE w:val="0"/>
              <w:autoSpaceDN w:val="0"/>
              <w:adjustRightInd w:val="0"/>
              <w:rPr>
                <w:rFonts w:cstheme="minorHAnsi"/>
                <w:sz w:val="23"/>
                <w:szCs w:val="23"/>
              </w:rPr>
            </w:pPr>
          </w:p>
        </w:tc>
      </w:tr>
      <w:tr w:rsidR="00714A41" w:rsidRPr="00123810" w14:paraId="2D870E8D" w14:textId="77777777" w:rsidTr="00B42F31">
        <w:trPr>
          <w:trHeight w:val="678"/>
        </w:trPr>
        <w:tc>
          <w:tcPr>
            <w:tcW w:w="1186" w:type="dxa"/>
          </w:tcPr>
          <w:p w14:paraId="79172969" w14:textId="77777777" w:rsidR="00714A41" w:rsidRPr="00123810" w:rsidRDefault="00714A41" w:rsidP="00B42F31">
            <w:pPr>
              <w:autoSpaceDE w:val="0"/>
              <w:autoSpaceDN w:val="0"/>
              <w:adjustRightInd w:val="0"/>
              <w:jc w:val="center"/>
              <w:rPr>
                <w:rFonts w:cstheme="minorHAnsi"/>
                <w:sz w:val="23"/>
                <w:szCs w:val="23"/>
              </w:rPr>
            </w:pPr>
            <w:r w:rsidRPr="00123810">
              <w:rPr>
                <w:rFonts w:cstheme="minorHAnsi"/>
                <w:sz w:val="23"/>
                <w:szCs w:val="23"/>
              </w:rPr>
              <w:t>15%</w:t>
            </w:r>
          </w:p>
        </w:tc>
        <w:tc>
          <w:tcPr>
            <w:tcW w:w="2054" w:type="dxa"/>
          </w:tcPr>
          <w:p w14:paraId="089CA9BE" w14:textId="77777777" w:rsidR="00714A41" w:rsidRDefault="00714A41" w:rsidP="00B42F31">
            <w:pPr>
              <w:autoSpaceDE w:val="0"/>
              <w:autoSpaceDN w:val="0"/>
              <w:adjustRightInd w:val="0"/>
              <w:rPr>
                <w:rFonts w:cstheme="minorHAnsi"/>
                <w:sz w:val="23"/>
                <w:szCs w:val="23"/>
              </w:rPr>
            </w:pPr>
            <w:r w:rsidRPr="00123810">
              <w:rPr>
                <w:rFonts w:cstheme="minorHAnsi"/>
                <w:sz w:val="23"/>
                <w:szCs w:val="23"/>
              </w:rPr>
              <w:t>Discretionary</w:t>
            </w:r>
          </w:p>
          <w:p w14:paraId="7D289697" w14:textId="77777777" w:rsidR="00714A41" w:rsidRPr="008F066D" w:rsidRDefault="00714A41" w:rsidP="00714A41">
            <w:pPr>
              <w:pStyle w:val="ListParagraph"/>
              <w:numPr>
                <w:ilvl w:val="0"/>
                <w:numId w:val="16"/>
              </w:numPr>
              <w:autoSpaceDE w:val="0"/>
              <w:autoSpaceDN w:val="0"/>
              <w:adjustRightInd w:val="0"/>
              <w:ind w:left="414"/>
              <w:rPr>
                <w:rFonts w:cstheme="minorHAnsi"/>
                <w:sz w:val="23"/>
                <w:szCs w:val="23"/>
              </w:rPr>
            </w:pPr>
            <w:r w:rsidRPr="008F066D">
              <w:rPr>
                <w:rFonts w:cstheme="minorHAnsi"/>
                <w:sz w:val="23"/>
                <w:szCs w:val="23"/>
              </w:rPr>
              <w:t>Prevention</w:t>
            </w:r>
          </w:p>
          <w:p w14:paraId="19262461" w14:textId="77777777" w:rsidR="00714A41" w:rsidRPr="008F066D" w:rsidRDefault="00714A41" w:rsidP="00714A41">
            <w:pPr>
              <w:pStyle w:val="ListParagraph"/>
              <w:numPr>
                <w:ilvl w:val="0"/>
                <w:numId w:val="16"/>
              </w:numPr>
              <w:autoSpaceDE w:val="0"/>
              <w:autoSpaceDN w:val="0"/>
              <w:adjustRightInd w:val="0"/>
              <w:ind w:left="414"/>
              <w:rPr>
                <w:rFonts w:cstheme="minorHAnsi"/>
                <w:sz w:val="23"/>
                <w:szCs w:val="23"/>
              </w:rPr>
            </w:pPr>
            <w:r w:rsidRPr="008F066D">
              <w:rPr>
                <w:rFonts w:cstheme="minorHAnsi"/>
                <w:sz w:val="23"/>
                <w:szCs w:val="23"/>
              </w:rPr>
              <w:t>Batterer’s Intervention Programs</w:t>
            </w:r>
          </w:p>
        </w:tc>
        <w:tc>
          <w:tcPr>
            <w:tcW w:w="1743" w:type="dxa"/>
            <w:tcBorders>
              <w:right w:val="single" w:sz="4" w:space="0" w:color="auto"/>
            </w:tcBorders>
            <w:shd w:val="clear" w:color="auto" w:fill="auto"/>
          </w:tcPr>
          <w:p w14:paraId="674E6B16" w14:textId="77777777" w:rsidR="00714A41" w:rsidRPr="00123810" w:rsidRDefault="00714A41" w:rsidP="00B42F31">
            <w:pPr>
              <w:autoSpaceDE w:val="0"/>
              <w:autoSpaceDN w:val="0"/>
              <w:adjustRightInd w:val="0"/>
              <w:rPr>
                <w:rFonts w:cstheme="minorHAnsi"/>
                <w:sz w:val="23"/>
                <w:szCs w:val="23"/>
              </w:rPr>
            </w:pPr>
            <w:r>
              <w:rPr>
                <w:rFonts w:cstheme="minorHAnsi"/>
                <w:sz w:val="23"/>
                <w:szCs w:val="23"/>
              </w:rPr>
              <w:t>$587,325</w:t>
            </w:r>
          </w:p>
        </w:tc>
        <w:tc>
          <w:tcPr>
            <w:tcW w:w="2271" w:type="dxa"/>
            <w:tcBorders>
              <w:top w:val="single" w:sz="4" w:space="0" w:color="auto"/>
              <w:left w:val="single" w:sz="4" w:space="0" w:color="auto"/>
              <w:right w:val="single" w:sz="4" w:space="0" w:color="auto"/>
            </w:tcBorders>
            <w:shd w:val="clear" w:color="auto" w:fill="auto"/>
          </w:tcPr>
          <w:p w14:paraId="466F20A1" w14:textId="77777777" w:rsidR="00714A41" w:rsidRPr="00A56D74" w:rsidRDefault="00714A41" w:rsidP="00B42F31">
            <w:pPr>
              <w:autoSpaceDE w:val="0"/>
              <w:autoSpaceDN w:val="0"/>
              <w:adjustRightInd w:val="0"/>
              <w:rPr>
                <w:rFonts w:cstheme="minorHAnsi"/>
                <w:color w:val="FF0000"/>
                <w:sz w:val="23"/>
                <w:szCs w:val="23"/>
              </w:rPr>
            </w:pPr>
            <w:r>
              <w:rPr>
                <w:rFonts w:cstheme="minorHAnsi"/>
                <w:sz w:val="23"/>
                <w:szCs w:val="23"/>
              </w:rPr>
              <w:t xml:space="preserve">No more than $218,460 allowed for prevention.  </w:t>
            </w:r>
          </w:p>
        </w:tc>
        <w:tc>
          <w:tcPr>
            <w:tcW w:w="1617" w:type="dxa"/>
            <w:tcBorders>
              <w:top w:val="single" w:sz="4" w:space="0" w:color="auto"/>
              <w:left w:val="single" w:sz="4" w:space="0" w:color="auto"/>
            </w:tcBorders>
            <w:shd w:val="clear" w:color="auto" w:fill="A6A6A6" w:themeFill="background1" w:themeFillShade="A6"/>
          </w:tcPr>
          <w:p w14:paraId="3043A112" w14:textId="77777777" w:rsidR="00714A41" w:rsidRDefault="00714A41" w:rsidP="00B42F31">
            <w:pPr>
              <w:autoSpaceDE w:val="0"/>
              <w:autoSpaceDN w:val="0"/>
              <w:adjustRightInd w:val="0"/>
              <w:rPr>
                <w:rFonts w:cstheme="minorHAnsi"/>
                <w:sz w:val="23"/>
                <w:szCs w:val="23"/>
              </w:rPr>
            </w:pPr>
          </w:p>
        </w:tc>
      </w:tr>
    </w:tbl>
    <w:bookmarkEnd w:id="52"/>
    <w:p w14:paraId="5C457C43" w14:textId="77777777" w:rsidR="00714A41" w:rsidRPr="00585A5F" w:rsidRDefault="00714A41" w:rsidP="00714A41">
      <w:pPr>
        <w:autoSpaceDE w:val="0"/>
        <w:autoSpaceDN w:val="0"/>
        <w:adjustRightInd w:val="0"/>
        <w:spacing w:before="120" w:after="240"/>
        <w:rPr>
          <w:rFonts w:cstheme="minorHAnsi"/>
        </w:rPr>
      </w:pPr>
      <w:r w:rsidRPr="00585A5F">
        <w:rPr>
          <w:rFonts w:cstheme="minorHAnsi"/>
        </w:rPr>
        <w:t>*Projected</w:t>
      </w:r>
      <w:r>
        <w:rPr>
          <w:rFonts w:cstheme="minorHAnsi"/>
        </w:rPr>
        <w:t xml:space="preserve"> 2021</w:t>
      </w:r>
      <w:r w:rsidRPr="00585A5F">
        <w:rPr>
          <w:rFonts w:cstheme="minorHAnsi"/>
        </w:rPr>
        <w:t xml:space="preserve"> funding amounts are based on</w:t>
      </w:r>
      <w:r>
        <w:rPr>
          <w:rFonts w:cstheme="minorHAnsi"/>
        </w:rPr>
        <w:t xml:space="preserve"> </w:t>
      </w:r>
      <w:r w:rsidRPr="00585A5F">
        <w:rPr>
          <w:rFonts w:cstheme="minorHAnsi"/>
        </w:rPr>
        <w:t xml:space="preserve">level funding from </w:t>
      </w:r>
      <w:r>
        <w:rPr>
          <w:rFonts w:cstheme="minorHAnsi"/>
        </w:rPr>
        <w:t>OVW.  This is subject to change.</w:t>
      </w:r>
    </w:p>
    <w:p w14:paraId="7A0680D1" w14:textId="32B4F374" w:rsidR="00D109CD" w:rsidRDefault="00D109CD" w:rsidP="001C5966">
      <w:pPr>
        <w:pStyle w:val="Heading2"/>
      </w:pPr>
      <w:bookmarkStart w:id="54" w:name="_Toc58588115"/>
      <w:r w:rsidRPr="00BF7DC0">
        <w:t xml:space="preserve">Are there funding caps </w:t>
      </w:r>
      <w:r w:rsidR="00743E97">
        <w:t xml:space="preserve">or growth limits </w:t>
      </w:r>
      <w:r w:rsidRPr="00BF7DC0">
        <w:t xml:space="preserve">for </w:t>
      </w:r>
      <w:r w:rsidR="0047721F">
        <w:t>STOP</w:t>
      </w:r>
      <w:r w:rsidRPr="00BF7DC0">
        <w:t xml:space="preserve"> priorities?</w:t>
      </w:r>
      <w:bookmarkEnd w:id="54"/>
    </w:p>
    <w:p w14:paraId="1442A74A" w14:textId="77777777" w:rsidR="00714A41" w:rsidRDefault="00714A41" w:rsidP="00714A41">
      <w:r>
        <w:t>Yes.  For 2021, GCC has implemented both growth limits and funding caps.</w:t>
      </w:r>
    </w:p>
    <w:p w14:paraId="1CA5FB5A" w14:textId="5C1872CF" w:rsidR="00714A41" w:rsidRDefault="00714A41" w:rsidP="00714A41">
      <w:r w:rsidRPr="00C96515">
        <w:rPr>
          <w:rFonts w:cstheme="minorHAnsi"/>
          <w:b/>
          <w:sz w:val="23"/>
          <w:szCs w:val="23"/>
        </w:rPr>
        <w:t xml:space="preserve">Growth: </w:t>
      </w:r>
      <w:r w:rsidRPr="00C96515">
        <w:rPr>
          <w:rFonts w:cstheme="minorHAnsi"/>
          <w:sz w:val="23"/>
          <w:szCs w:val="23"/>
        </w:rPr>
        <w:t xml:space="preserve">As funding is limited, agencies requesting funding for continuation projects are limited to level funding, the federal share of the project cannot increase from the previous year. </w:t>
      </w:r>
    </w:p>
    <w:tbl>
      <w:tblPr>
        <w:tblStyle w:val="TableGrid"/>
        <w:tblW w:w="10080" w:type="dxa"/>
        <w:tblInd w:w="-275" w:type="dxa"/>
        <w:tblLook w:val="04A0" w:firstRow="1" w:lastRow="0" w:firstColumn="1" w:lastColumn="0" w:noHBand="0" w:noVBand="1"/>
      </w:tblPr>
      <w:tblGrid>
        <w:gridCol w:w="2610"/>
        <w:gridCol w:w="7470"/>
      </w:tblGrid>
      <w:tr w:rsidR="00714A41" w:rsidRPr="00C96515" w14:paraId="310CEB74" w14:textId="77777777" w:rsidTr="00B42F31">
        <w:tc>
          <w:tcPr>
            <w:tcW w:w="2610" w:type="dxa"/>
          </w:tcPr>
          <w:p w14:paraId="10CF1053" w14:textId="77777777" w:rsidR="00714A41" w:rsidRPr="00C96515" w:rsidRDefault="00714A41" w:rsidP="00B42F31">
            <w:pPr>
              <w:autoSpaceDE w:val="0"/>
              <w:autoSpaceDN w:val="0"/>
              <w:adjustRightInd w:val="0"/>
              <w:jc w:val="center"/>
              <w:rPr>
                <w:rFonts w:cstheme="minorHAnsi"/>
                <w:sz w:val="23"/>
                <w:szCs w:val="23"/>
              </w:rPr>
            </w:pPr>
            <w:r w:rsidRPr="00C96515">
              <w:rPr>
                <w:rFonts w:cstheme="minorHAnsi"/>
                <w:b/>
                <w:sz w:val="23"/>
                <w:szCs w:val="23"/>
              </w:rPr>
              <w:t>Priority</w:t>
            </w:r>
          </w:p>
        </w:tc>
        <w:tc>
          <w:tcPr>
            <w:tcW w:w="7470" w:type="dxa"/>
          </w:tcPr>
          <w:p w14:paraId="72B1FB91" w14:textId="77777777" w:rsidR="00714A41" w:rsidRPr="00C96515" w:rsidRDefault="00714A41" w:rsidP="00B42F31">
            <w:pPr>
              <w:autoSpaceDE w:val="0"/>
              <w:autoSpaceDN w:val="0"/>
              <w:adjustRightInd w:val="0"/>
              <w:jc w:val="center"/>
              <w:rPr>
                <w:rFonts w:cstheme="minorHAnsi"/>
                <w:b/>
                <w:sz w:val="23"/>
                <w:szCs w:val="23"/>
              </w:rPr>
            </w:pPr>
            <w:r w:rsidRPr="00C96515">
              <w:rPr>
                <w:rFonts w:cstheme="minorHAnsi"/>
                <w:b/>
                <w:sz w:val="23"/>
                <w:szCs w:val="23"/>
              </w:rPr>
              <w:t>Maximum Federal Share</w:t>
            </w:r>
          </w:p>
        </w:tc>
      </w:tr>
      <w:tr w:rsidR="00714A41" w:rsidRPr="00C96515" w14:paraId="77DB2940" w14:textId="77777777" w:rsidTr="00B42F31">
        <w:trPr>
          <w:trHeight w:val="242"/>
        </w:trPr>
        <w:tc>
          <w:tcPr>
            <w:tcW w:w="2610" w:type="dxa"/>
          </w:tcPr>
          <w:p w14:paraId="57B18BB1" w14:textId="77777777" w:rsidR="00714A41" w:rsidRPr="00C96515" w:rsidRDefault="00714A41" w:rsidP="00B42F31">
            <w:pPr>
              <w:autoSpaceDE w:val="0"/>
              <w:autoSpaceDN w:val="0"/>
              <w:adjustRightInd w:val="0"/>
              <w:rPr>
                <w:rFonts w:cstheme="minorHAnsi"/>
                <w:sz w:val="23"/>
                <w:szCs w:val="23"/>
              </w:rPr>
            </w:pPr>
            <w:r w:rsidRPr="00C96515">
              <w:rPr>
                <w:rFonts w:cstheme="minorHAnsi"/>
                <w:sz w:val="23"/>
                <w:szCs w:val="23"/>
              </w:rPr>
              <w:t>State and Local Courts</w:t>
            </w:r>
          </w:p>
        </w:tc>
        <w:tc>
          <w:tcPr>
            <w:tcW w:w="7470" w:type="dxa"/>
          </w:tcPr>
          <w:p w14:paraId="5148FB3D" w14:textId="77777777" w:rsidR="00714A41" w:rsidRPr="00C96515" w:rsidRDefault="00714A41" w:rsidP="00B42F31">
            <w:pPr>
              <w:autoSpaceDE w:val="0"/>
              <w:autoSpaceDN w:val="0"/>
              <w:adjustRightInd w:val="0"/>
              <w:rPr>
                <w:rFonts w:cstheme="minorHAnsi"/>
                <w:sz w:val="23"/>
                <w:szCs w:val="23"/>
              </w:rPr>
            </w:pPr>
            <w:r w:rsidRPr="00C96515">
              <w:rPr>
                <w:rFonts w:cstheme="minorHAnsi"/>
                <w:sz w:val="23"/>
                <w:szCs w:val="23"/>
              </w:rPr>
              <w:t>Statewide Training Grant – Non Competitive</w:t>
            </w:r>
          </w:p>
        </w:tc>
      </w:tr>
      <w:tr w:rsidR="00714A41" w:rsidRPr="00C96515" w14:paraId="5AB57276" w14:textId="77777777" w:rsidTr="00B42F31">
        <w:tc>
          <w:tcPr>
            <w:tcW w:w="2610" w:type="dxa"/>
          </w:tcPr>
          <w:p w14:paraId="2DCA7124" w14:textId="77777777" w:rsidR="00714A41" w:rsidRPr="00C96515" w:rsidRDefault="00714A41" w:rsidP="00B42F31">
            <w:pPr>
              <w:autoSpaceDE w:val="0"/>
              <w:autoSpaceDN w:val="0"/>
              <w:adjustRightInd w:val="0"/>
              <w:rPr>
                <w:rFonts w:cstheme="minorHAnsi"/>
                <w:sz w:val="23"/>
                <w:szCs w:val="23"/>
              </w:rPr>
            </w:pPr>
            <w:r w:rsidRPr="00C96515">
              <w:rPr>
                <w:rFonts w:cstheme="minorHAnsi"/>
                <w:sz w:val="23"/>
                <w:szCs w:val="23"/>
              </w:rPr>
              <w:t>Victim Services</w:t>
            </w:r>
          </w:p>
        </w:tc>
        <w:tc>
          <w:tcPr>
            <w:tcW w:w="7470" w:type="dxa"/>
          </w:tcPr>
          <w:p w14:paraId="4A633357" w14:textId="77777777" w:rsidR="00714A41" w:rsidRPr="00C96515" w:rsidRDefault="00714A41" w:rsidP="00B42F31">
            <w:pPr>
              <w:autoSpaceDE w:val="0"/>
              <w:autoSpaceDN w:val="0"/>
              <w:adjustRightInd w:val="0"/>
              <w:rPr>
                <w:rFonts w:cstheme="minorHAnsi"/>
                <w:sz w:val="23"/>
                <w:szCs w:val="23"/>
              </w:rPr>
            </w:pPr>
            <w:r w:rsidRPr="00C96515">
              <w:rPr>
                <w:rFonts w:cstheme="minorHAnsi"/>
                <w:sz w:val="23"/>
                <w:szCs w:val="23"/>
              </w:rPr>
              <w:t>Up to $200,000</w:t>
            </w:r>
          </w:p>
        </w:tc>
      </w:tr>
      <w:tr w:rsidR="00714A41" w:rsidRPr="00C96515" w14:paraId="4BBCE586" w14:textId="77777777" w:rsidTr="00B42F31">
        <w:tc>
          <w:tcPr>
            <w:tcW w:w="2610" w:type="dxa"/>
          </w:tcPr>
          <w:p w14:paraId="7DF4FB3F" w14:textId="77777777" w:rsidR="00714A41" w:rsidRPr="00C96515" w:rsidRDefault="00714A41" w:rsidP="00B42F31">
            <w:pPr>
              <w:autoSpaceDE w:val="0"/>
              <w:autoSpaceDN w:val="0"/>
              <w:adjustRightInd w:val="0"/>
              <w:rPr>
                <w:rFonts w:cstheme="minorHAnsi"/>
                <w:sz w:val="23"/>
                <w:szCs w:val="23"/>
              </w:rPr>
            </w:pPr>
            <w:r w:rsidRPr="00C96515">
              <w:rPr>
                <w:rFonts w:cstheme="minorHAnsi"/>
                <w:sz w:val="23"/>
                <w:szCs w:val="23"/>
              </w:rPr>
              <w:t>Law Enforcement</w:t>
            </w:r>
          </w:p>
        </w:tc>
        <w:tc>
          <w:tcPr>
            <w:tcW w:w="7470" w:type="dxa"/>
          </w:tcPr>
          <w:p w14:paraId="3A578CAF" w14:textId="77777777" w:rsidR="00714A41" w:rsidRPr="00C96515" w:rsidRDefault="00714A41" w:rsidP="00B42F31">
            <w:pPr>
              <w:autoSpaceDE w:val="0"/>
              <w:autoSpaceDN w:val="0"/>
              <w:adjustRightInd w:val="0"/>
              <w:rPr>
                <w:rFonts w:cstheme="minorHAnsi"/>
                <w:sz w:val="23"/>
                <w:szCs w:val="23"/>
              </w:rPr>
            </w:pPr>
            <w:r w:rsidRPr="00C96515">
              <w:rPr>
                <w:rFonts w:cstheme="minorHAnsi"/>
                <w:sz w:val="23"/>
                <w:szCs w:val="23"/>
              </w:rPr>
              <w:t>Up to $140,000</w:t>
            </w:r>
          </w:p>
        </w:tc>
      </w:tr>
      <w:tr w:rsidR="00714A41" w:rsidRPr="00C96515" w14:paraId="04ED5DE9" w14:textId="77777777" w:rsidTr="00B42F31">
        <w:tc>
          <w:tcPr>
            <w:tcW w:w="2610" w:type="dxa"/>
          </w:tcPr>
          <w:p w14:paraId="28BE1841" w14:textId="77777777" w:rsidR="00714A41" w:rsidRPr="00C96515" w:rsidRDefault="00714A41" w:rsidP="00B42F31">
            <w:pPr>
              <w:autoSpaceDE w:val="0"/>
              <w:autoSpaceDN w:val="0"/>
              <w:adjustRightInd w:val="0"/>
              <w:rPr>
                <w:rFonts w:cstheme="minorHAnsi"/>
                <w:sz w:val="23"/>
                <w:szCs w:val="23"/>
              </w:rPr>
            </w:pPr>
            <w:r w:rsidRPr="00C96515">
              <w:rPr>
                <w:rFonts w:cstheme="minorHAnsi"/>
                <w:sz w:val="23"/>
                <w:szCs w:val="23"/>
              </w:rPr>
              <w:t>Prosecutors</w:t>
            </w:r>
          </w:p>
        </w:tc>
        <w:tc>
          <w:tcPr>
            <w:tcW w:w="7470" w:type="dxa"/>
          </w:tcPr>
          <w:p w14:paraId="1FB52F89" w14:textId="77777777" w:rsidR="00714A41" w:rsidRPr="00C96515" w:rsidRDefault="00714A41" w:rsidP="00B42F31">
            <w:pPr>
              <w:autoSpaceDE w:val="0"/>
              <w:autoSpaceDN w:val="0"/>
              <w:adjustRightInd w:val="0"/>
              <w:rPr>
                <w:rFonts w:cstheme="minorHAnsi"/>
                <w:sz w:val="23"/>
                <w:szCs w:val="23"/>
              </w:rPr>
            </w:pPr>
            <w:r w:rsidRPr="00C96515">
              <w:rPr>
                <w:rFonts w:cstheme="minorHAnsi"/>
                <w:sz w:val="23"/>
                <w:szCs w:val="23"/>
              </w:rPr>
              <w:t>Up to $140,000</w:t>
            </w:r>
          </w:p>
        </w:tc>
      </w:tr>
      <w:tr w:rsidR="00714A41" w14:paraId="593C5D40" w14:textId="77777777" w:rsidTr="00B42F31">
        <w:tc>
          <w:tcPr>
            <w:tcW w:w="2610" w:type="dxa"/>
          </w:tcPr>
          <w:p w14:paraId="21385D88" w14:textId="77777777" w:rsidR="00714A41" w:rsidRPr="00C96515" w:rsidRDefault="00714A41" w:rsidP="00B42F31">
            <w:pPr>
              <w:autoSpaceDE w:val="0"/>
              <w:autoSpaceDN w:val="0"/>
              <w:adjustRightInd w:val="0"/>
              <w:rPr>
                <w:rFonts w:cstheme="minorHAnsi"/>
                <w:sz w:val="23"/>
                <w:szCs w:val="23"/>
              </w:rPr>
            </w:pPr>
            <w:r w:rsidRPr="00C96515">
              <w:rPr>
                <w:rFonts w:cstheme="minorHAnsi"/>
                <w:sz w:val="23"/>
                <w:szCs w:val="23"/>
              </w:rPr>
              <w:t>Discretionary</w:t>
            </w:r>
          </w:p>
        </w:tc>
        <w:tc>
          <w:tcPr>
            <w:tcW w:w="7470" w:type="dxa"/>
          </w:tcPr>
          <w:p w14:paraId="0A68F27E" w14:textId="77777777" w:rsidR="00714A41" w:rsidRPr="00C96515" w:rsidRDefault="00714A41" w:rsidP="00B42F31">
            <w:pPr>
              <w:autoSpaceDE w:val="0"/>
              <w:autoSpaceDN w:val="0"/>
              <w:adjustRightInd w:val="0"/>
              <w:rPr>
                <w:rFonts w:cstheme="minorHAnsi"/>
                <w:sz w:val="23"/>
                <w:szCs w:val="23"/>
              </w:rPr>
            </w:pPr>
            <w:r w:rsidRPr="00C96515">
              <w:rPr>
                <w:rFonts w:cstheme="minorHAnsi"/>
                <w:sz w:val="23"/>
                <w:szCs w:val="23"/>
              </w:rPr>
              <w:t>Batterer’s Intervention Programs: Up to $55,000 for individual regions and up to $100,000* for programs that propose to expand and serve multiple regions.</w:t>
            </w:r>
          </w:p>
          <w:p w14:paraId="772B7535" w14:textId="77777777" w:rsidR="00714A41" w:rsidRPr="00C96515" w:rsidRDefault="00714A41" w:rsidP="00B42F31">
            <w:pPr>
              <w:autoSpaceDE w:val="0"/>
              <w:autoSpaceDN w:val="0"/>
              <w:adjustRightInd w:val="0"/>
              <w:rPr>
                <w:rFonts w:cstheme="minorHAnsi"/>
                <w:sz w:val="23"/>
                <w:szCs w:val="23"/>
              </w:rPr>
            </w:pPr>
            <w:r w:rsidRPr="00C96515">
              <w:rPr>
                <w:rFonts w:cstheme="minorHAnsi"/>
                <w:sz w:val="23"/>
                <w:szCs w:val="23"/>
              </w:rPr>
              <w:t>Prevention Programs: Up to $55,000</w:t>
            </w:r>
          </w:p>
        </w:tc>
      </w:tr>
    </w:tbl>
    <w:p w14:paraId="273AAB6C" w14:textId="04ACA268" w:rsidR="00714A41" w:rsidRPr="008C5071" w:rsidRDefault="00714A41" w:rsidP="0025369D">
      <w:r>
        <w:rPr>
          <w:rFonts w:cstheme="minorHAnsi"/>
          <w:b/>
          <w:sz w:val="23"/>
          <w:szCs w:val="23"/>
        </w:rPr>
        <w:t xml:space="preserve"> </w:t>
      </w:r>
    </w:p>
    <w:p w14:paraId="280F2377" w14:textId="751576BA" w:rsidR="00D109CD" w:rsidRPr="00DC3635" w:rsidRDefault="00D109CD" w:rsidP="001C5966">
      <w:pPr>
        <w:pStyle w:val="Heading2"/>
      </w:pPr>
      <w:bookmarkStart w:id="55" w:name="_Toc58588116"/>
      <w:r w:rsidRPr="00DC3635">
        <w:t xml:space="preserve">Can </w:t>
      </w:r>
      <w:r w:rsidR="0047721F">
        <w:t>STOP</w:t>
      </w:r>
      <w:r w:rsidRPr="00DC3635">
        <w:t xml:space="preserve"> funds be used to support supervised visitation</w:t>
      </w:r>
      <w:r>
        <w:t xml:space="preserve"> and exchange</w:t>
      </w:r>
      <w:r w:rsidRPr="00DC3635">
        <w:t xml:space="preserve"> programs?</w:t>
      </w:r>
      <w:bookmarkEnd w:id="55"/>
    </w:p>
    <w:p w14:paraId="67D04805" w14:textId="77777777" w:rsidR="00D109CD" w:rsidRDefault="00D109CD" w:rsidP="00D109CD">
      <w:r>
        <w:t>Yes, supervised visitation and exchange by and between parents in cases involving domestic violence, dating violence, sexual assault and or stalking allowable with STOP funds.  Supervised visitation and exchange are considered victims services and protect victims of domestic violence from further abuse.</w:t>
      </w:r>
    </w:p>
    <w:p w14:paraId="3C67E612" w14:textId="095024F2" w:rsidR="001D60EB" w:rsidRPr="00A60AA6" w:rsidRDefault="007973BA" w:rsidP="001C5966">
      <w:pPr>
        <w:pStyle w:val="Heading2"/>
      </w:pPr>
      <w:bookmarkStart w:id="56" w:name="_Toc58588117"/>
      <w:r w:rsidRPr="00A60AA6">
        <w:t xml:space="preserve">What entities are covered by the match exemption through </w:t>
      </w:r>
      <w:r w:rsidR="0047721F">
        <w:t>STOP</w:t>
      </w:r>
      <w:r w:rsidRPr="00A60AA6">
        <w:t>?</w:t>
      </w:r>
      <w:bookmarkEnd w:id="56"/>
    </w:p>
    <w:p w14:paraId="1658D115" w14:textId="01902D89" w:rsidR="00B42F31" w:rsidRDefault="001D60EB" w:rsidP="0025369D">
      <w:r>
        <w:t xml:space="preserve">No matching funds are required for </w:t>
      </w:r>
      <w:r w:rsidR="0026626E">
        <w:t xml:space="preserve">tribe, territory, or </w:t>
      </w:r>
      <w:r w:rsidR="00186E54">
        <w:t>victim service provider</w:t>
      </w:r>
      <w:r w:rsidR="008F55D5">
        <w:t>s</w:t>
      </w:r>
      <w:r w:rsidR="0026626E">
        <w:t>, regardless of funding allocation category</w:t>
      </w:r>
      <w:proofErr w:type="gramStart"/>
      <w:r w:rsidR="00186E54">
        <w:t xml:space="preserve">. </w:t>
      </w:r>
      <w:proofErr w:type="gramEnd"/>
      <w:r w:rsidR="00EF5015">
        <w:t>Victim service providers as defined in VAWA must have 501(c)(3) status unless they are a tribal governmental organization or government rape crisis center.</w:t>
      </w:r>
      <w:r w:rsidR="00EF5015" w:rsidRPr="00EF5015">
        <w:t xml:space="preserve"> </w:t>
      </w:r>
      <w:r w:rsidR="00B42F31">
        <w:t xml:space="preserve"> </w:t>
      </w:r>
      <w:r w:rsidR="00EF5015">
        <w:t xml:space="preserve">For purposes of </w:t>
      </w:r>
      <w:r w:rsidR="0047721F">
        <w:t xml:space="preserve">STOP </w:t>
      </w:r>
      <w:r w:rsidR="00EF5015">
        <w:t xml:space="preserve">funding, tribal communities include both State and Federally recognized tribes.  </w:t>
      </w:r>
      <w:r w:rsidR="007973BA" w:rsidRPr="008B0E59">
        <w:tab/>
      </w:r>
    </w:p>
    <w:p w14:paraId="7B49A8A4" w14:textId="20FB61B8" w:rsidR="007973BA" w:rsidRPr="00D77CE6" w:rsidRDefault="007973BA" w:rsidP="001C5966">
      <w:pPr>
        <w:pStyle w:val="Heading2"/>
      </w:pPr>
      <w:bookmarkStart w:id="57" w:name="_Toc58588118"/>
      <w:r w:rsidRPr="00D77CE6">
        <w:lastRenderedPageBreak/>
        <w:t xml:space="preserve">Can </w:t>
      </w:r>
      <w:r w:rsidR="0047721F">
        <w:t>STOP</w:t>
      </w:r>
      <w:r w:rsidR="00714A41">
        <w:t xml:space="preserve"> </w:t>
      </w:r>
      <w:r w:rsidRPr="00D77CE6">
        <w:t>be used to fund Bat</w:t>
      </w:r>
      <w:r w:rsidR="008B0E59" w:rsidRPr="00D77CE6">
        <w:t>terer's Intervention Programs?</w:t>
      </w:r>
      <w:bookmarkEnd w:id="57"/>
    </w:p>
    <w:p w14:paraId="53D78680" w14:textId="77777777" w:rsidR="00D77CE6" w:rsidRDefault="00D77CE6" w:rsidP="004A6E8C">
      <w:r>
        <w:t>Yes</w:t>
      </w:r>
      <w:proofErr w:type="gramStart"/>
      <w:r>
        <w:t xml:space="preserve">. </w:t>
      </w:r>
      <w:proofErr w:type="gramEnd"/>
      <w:r>
        <w:t>Batterers’ intervention programs may be supported provided that the programs use court monitoring to hold offenders accountable for their behavior</w:t>
      </w:r>
      <w:proofErr w:type="gramStart"/>
      <w:r>
        <w:t xml:space="preserve">. </w:t>
      </w:r>
      <w:proofErr w:type="gramEnd"/>
      <w:r>
        <w:t xml:space="preserve">However, couples counseling or any intervention that requires participation by a victim or that is not designed to hold offenders accountable for their violent behavior cannot be supported with STOP dollars. </w:t>
      </w:r>
    </w:p>
    <w:p w14:paraId="243DEBD4" w14:textId="29514C47" w:rsidR="004A6E8C" w:rsidRDefault="004A6E8C">
      <w:r>
        <w:t xml:space="preserve">The North Carolina Council for Women and Youth Involvement maintains the authority to approve the abuser treatment programs utilized by the North Carolina court system.  </w:t>
      </w:r>
      <w:r w:rsidR="00714A41">
        <w:t>In order to receive STOP funds, Batterer’s Interventions Programs must be a</w:t>
      </w:r>
      <w:r w:rsidR="003912D0">
        <w:t xml:space="preserve"> state-</w:t>
      </w:r>
      <w:r w:rsidR="00714A41">
        <w:t>approved abuser treatment program.</w:t>
      </w:r>
    </w:p>
    <w:p w14:paraId="768CF6CF" w14:textId="29BF7101" w:rsidR="00D27C7F" w:rsidRDefault="00D27C7F" w:rsidP="001C5966">
      <w:pPr>
        <w:pStyle w:val="Heading2"/>
      </w:pPr>
      <w:bookmarkStart w:id="58" w:name="_Toc58588119"/>
      <w:r w:rsidRPr="00BA1160">
        <w:t xml:space="preserve">Can </w:t>
      </w:r>
      <w:r w:rsidR="0047721F">
        <w:t>STOP</w:t>
      </w:r>
      <w:r w:rsidRPr="00BA1160">
        <w:t xml:space="preserve"> funds be used for a healthcare provider’s time conducting forensic examinations?</w:t>
      </w:r>
      <w:bookmarkEnd w:id="58"/>
    </w:p>
    <w:p w14:paraId="0324482A" w14:textId="77777777" w:rsidR="0072348D" w:rsidRDefault="00D27C7F" w:rsidP="00D27C7F">
      <w:r>
        <w:t>Yes, if two requirements are met: 1) the examinations are performed by specially trained examiners for victims of sexual assault (such as Sexual Assault Nurse Examiners (SANEs) or Sexual Assault Forensic Examiners (SAFEs)); and 2) the jurisdiction does not require victims of sexual assault to seek reimbursement from their insurance carriers.</w:t>
      </w:r>
      <w:r w:rsidR="0072348D">
        <w:t xml:space="preserve">  </w:t>
      </w:r>
    </w:p>
    <w:p w14:paraId="18E55864" w14:textId="6F7FB80B" w:rsidR="00D27C7F" w:rsidRDefault="0072348D" w:rsidP="00D27C7F">
      <w:r>
        <w:t>The grant’s reimbursable amount for forensic medical evidence collection examinations for victims are allowable to the extent that other funding sources, such as state appropriations, are insufficient; therefore, grant funds can only be used to cover costs exceeding the amount available from state appropriations for this service.</w:t>
      </w:r>
    </w:p>
    <w:p w14:paraId="317CAB1A" w14:textId="04A2EB42" w:rsidR="00D27C7F" w:rsidRDefault="00D27C7F" w:rsidP="001C5966">
      <w:pPr>
        <w:pStyle w:val="Heading2"/>
      </w:pPr>
      <w:bookmarkStart w:id="59" w:name="_Toc58588120"/>
      <w:r w:rsidRPr="00695AB5">
        <w:t>Can STOP funds be used to support human trafficking programs?</w:t>
      </w:r>
      <w:bookmarkEnd w:id="59"/>
    </w:p>
    <w:p w14:paraId="16BCD5D2" w14:textId="53786F25" w:rsidR="00D27C7F" w:rsidRPr="00695AB5" w:rsidRDefault="00D27C7F" w:rsidP="00D27C7F">
      <w:r w:rsidRPr="00695AB5">
        <w:t xml:space="preserve">Yes.  </w:t>
      </w:r>
      <w:r>
        <w:t>P</w:t>
      </w:r>
      <w:r w:rsidRPr="00695AB5">
        <w:t>rograms</w:t>
      </w:r>
      <w:r>
        <w:t xml:space="preserve"> that address</w:t>
      </w:r>
      <w:r w:rsidR="00DA2214">
        <w:t xml:space="preserve"> the STOP crimes of domestic violence, sexual assault, dating violence and stalking with victims of </w:t>
      </w:r>
      <w:r>
        <w:t xml:space="preserve">human trafficking </w:t>
      </w:r>
      <w:r w:rsidRPr="00695AB5">
        <w:t xml:space="preserve">are fundable through STOP.  </w:t>
      </w:r>
      <w:r>
        <w:t>Applicants are strongly encouraged to discuss their proposals with the Human Trafficking Commission and obtain a letter of support for the project.  The Human Trafficking Commission leads the state’s efforts on anti-human trafficking efforts.</w:t>
      </w:r>
    </w:p>
    <w:p w14:paraId="656396CE" w14:textId="4E4CBF9F" w:rsidR="007973BA" w:rsidRDefault="007973BA" w:rsidP="001C5966">
      <w:pPr>
        <w:pStyle w:val="Heading2"/>
      </w:pPr>
      <w:bookmarkStart w:id="60" w:name="_Toc58588121"/>
      <w:r w:rsidRPr="00D07C9F">
        <w:t xml:space="preserve">Does my program qualify to provide 'culturally specific' services under </w:t>
      </w:r>
      <w:r w:rsidR="0047721F">
        <w:t>STOP</w:t>
      </w:r>
      <w:r w:rsidRPr="00D07C9F">
        <w:t>?</w:t>
      </w:r>
      <w:bookmarkEnd w:id="60"/>
    </w:p>
    <w:p w14:paraId="389D3B8C" w14:textId="77777777" w:rsidR="002044DB" w:rsidRDefault="002044DB" w:rsidP="007973BA">
      <w:r>
        <w:t>An organization will qualify for funding if its primary mission is to address the needs of racial and ethnic minority groups or if it has developed a special expertise regarding a particular racial and ethnic minority group</w:t>
      </w:r>
      <w:proofErr w:type="gramStart"/>
      <w:r>
        <w:t xml:space="preserve">. </w:t>
      </w:r>
      <w:proofErr w:type="gramEnd"/>
      <w:r>
        <w:t>The organization must do more than merely provide services to the targeted group; rather, the organization must provide culturally competent services designed to meet the specific needs of the target population.</w:t>
      </w:r>
    </w:p>
    <w:p w14:paraId="0302341E" w14:textId="77777777" w:rsidR="002044DB" w:rsidRDefault="002044DB" w:rsidP="007973BA">
      <w:r>
        <w:t xml:space="preserve">An organization is eligible under the culturally-specific set aside if the organization is a nonprofit, nongovernmental organization or tribal organization that serves a specific geographic community that: </w:t>
      </w:r>
    </w:p>
    <w:p w14:paraId="0696169A" w14:textId="77777777" w:rsidR="002044DB" w:rsidRDefault="002044DB" w:rsidP="002044DB">
      <w:pPr>
        <w:pStyle w:val="ListParagraph"/>
        <w:numPr>
          <w:ilvl w:val="0"/>
          <w:numId w:val="2"/>
        </w:numPr>
      </w:pPr>
      <w:r>
        <w:t xml:space="preserve">Focuses primarily on domestic violence, dating violence, sexual assault, or stalking; </w:t>
      </w:r>
    </w:p>
    <w:p w14:paraId="46EDD229" w14:textId="77777777" w:rsidR="002044DB" w:rsidRDefault="002044DB" w:rsidP="002044DB">
      <w:pPr>
        <w:pStyle w:val="ListParagraph"/>
        <w:numPr>
          <w:ilvl w:val="0"/>
          <w:numId w:val="2"/>
        </w:numPr>
      </w:pPr>
      <w:r>
        <w:t xml:space="preserve">Has established a specialized culturally specific program that addresses domestic violence, dating violence, sexual assault, or stalking; </w:t>
      </w:r>
    </w:p>
    <w:p w14:paraId="2CA452EA" w14:textId="77777777" w:rsidR="002044DB" w:rsidRDefault="002044DB" w:rsidP="002044DB">
      <w:pPr>
        <w:pStyle w:val="ListParagraph"/>
        <w:numPr>
          <w:ilvl w:val="0"/>
          <w:numId w:val="2"/>
        </w:numPr>
      </w:pPr>
      <w:r>
        <w:t>Has a primary focus on underserved populations (and includes representatives of these populations) and domestic violence, dating violence, sexual assault, or stalking; or</w:t>
      </w:r>
    </w:p>
    <w:p w14:paraId="370DB85F" w14:textId="77777777" w:rsidR="002044DB" w:rsidRDefault="002044DB" w:rsidP="002044DB">
      <w:pPr>
        <w:pStyle w:val="ListParagraph"/>
        <w:numPr>
          <w:ilvl w:val="0"/>
          <w:numId w:val="2"/>
        </w:numPr>
      </w:pPr>
      <w:r>
        <w:t xml:space="preserve">Obtains expertise, or shows demonstrated capacity to work effectively, on domestic violence, dating violence, sexual assault, and stalking through collaboration; </w:t>
      </w:r>
    </w:p>
    <w:p w14:paraId="2466D46D" w14:textId="77777777" w:rsidR="002044DB" w:rsidRDefault="002044DB" w:rsidP="002044DB">
      <w:pPr>
        <w:pStyle w:val="ListParagraph"/>
        <w:numPr>
          <w:ilvl w:val="0"/>
          <w:numId w:val="2"/>
        </w:numPr>
      </w:pPr>
      <w:r>
        <w:lastRenderedPageBreak/>
        <w:t xml:space="preserve">Is primarily directed toward racial and ethnic minority groups; </w:t>
      </w:r>
      <w:r w:rsidRPr="0020303D">
        <w:rPr>
          <w:b/>
          <w:u w:val="single"/>
        </w:rPr>
        <w:t>and</w:t>
      </w:r>
      <w:r>
        <w:t xml:space="preserve"> </w:t>
      </w:r>
    </w:p>
    <w:p w14:paraId="17F0311E" w14:textId="77777777" w:rsidR="002044DB" w:rsidRPr="002044DB" w:rsidRDefault="002044DB" w:rsidP="002044DB">
      <w:pPr>
        <w:pStyle w:val="ListParagraph"/>
        <w:numPr>
          <w:ilvl w:val="0"/>
          <w:numId w:val="2"/>
        </w:numPr>
        <w:rPr>
          <w:b/>
        </w:rPr>
      </w:pPr>
      <w:r>
        <w:t>Is providing services tailored to the unique needs of that population</w:t>
      </w:r>
    </w:p>
    <w:p w14:paraId="7499055E" w14:textId="083FFA65" w:rsidR="00D07C9F" w:rsidRPr="00D07C9F" w:rsidRDefault="007973BA" w:rsidP="001C5966">
      <w:pPr>
        <w:pStyle w:val="Heading2"/>
      </w:pPr>
      <w:bookmarkStart w:id="61" w:name="_Toc58588122"/>
      <w:r w:rsidRPr="00D07C9F">
        <w:t>Can other underserved populations, such as Deaf victims, LGBT victims, and religious minorities be considered culturally specific under VAWA</w:t>
      </w:r>
      <w:r w:rsidR="008F55D5">
        <w:t xml:space="preserve"> </w:t>
      </w:r>
      <w:r w:rsidR="00DA2214">
        <w:t>STOP</w:t>
      </w:r>
      <w:r w:rsidRPr="00D07C9F">
        <w:t>?</w:t>
      </w:r>
      <w:bookmarkEnd w:id="61"/>
    </w:p>
    <w:p w14:paraId="2D6FCD34" w14:textId="2F378E0F" w:rsidR="007973BA" w:rsidRPr="008B0E59" w:rsidRDefault="00D07C9F" w:rsidP="007973BA">
      <w:r>
        <w:t>No. The set aside is only for racial and ethnic minorities; however, the S</w:t>
      </w:r>
      <w:r w:rsidR="003912D0">
        <w:t>TOP</w:t>
      </w:r>
      <w:r>
        <w:t xml:space="preserve"> Implementation Plan is designed to determine how our state will recognize and meaningfully respond to the needs of underserved populations</w:t>
      </w:r>
      <w:proofErr w:type="gramStart"/>
      <w:r>
        <w:t xml:space="preserve">. </w:t>
      </w:r>
      <w:proofErr w:type="gramEnd"/>
      <w:r>
        <w:t>VAWA defines ‘underserved populations’ as “populations who face barriers in accessing and using victim services, and includes populations underserved because of geographic location, religion, sexual orientation, gender identity, underserved racial and ethnic populations underserved because o</w:t>
      </w:r>
      <w:r w:rsidR="0020303D">
        <w:t>f</w:t>
      </w:r>
      <w:r>
        <w:t xml:space="preserve"> special needs (such as language barriers, disabilities, alienage status, or age), and any other population determined to be underserved by the Attorney General.”</w:t>
      </w:r>
      <w:r w:rsidR="00DA2214">
        <w:t xml:space="preserve"> Projects that support services to underserved victims are allowable with STOP </w:t>
      </w:r>
      <w:r w:rsidR="00460BAF">
        <w:t>funds but</w:t>
      </w:r>
      <w:r w:rsidR="003912D0">
        <w:t xml:space="preserve"> not all underserved victim projects will </w:t>
      </w:r>
      <w:r w:rsidR="00DA2214">
        <w:t>fall under the culturally specific allocation.</w:t>
      </w:r>
    </w:p>
    <w:p w14:paraId="352006A7" w14:textId="62A6ED8A" w:rsidR="007973BA" w:rsidRPr="00512BD6" w:rsidRDefault="007973BA" w:rsidP="001C5966">
      <w:pPr>
        <w:pStyle w:val="Heading2"/>
      </w:pPr>
      <w:bookmarkStart w:id="62" w:name="_Toc58588123"/>
      <w:r w:rsidRPr="00512BD6">
        <w:t>Can STOP funds be used to provide services to children?</w:t>
      </w:r>
      <w:bookmarkEnd w:id="62"/>
    </w:p>
    <w:p w14:paraId="28AC0871" w14:textId="77777777" w:rsidR="00512BD6" w:rsidRPr="008B0E59" w:rsidRDefault="00512BD6" w:rsidP="007973BA">
      <w:r>
        <w:t>In limited circumstances</w:t>
      </w:r>
      <w:proofErr w:type="gramStart"/>
      <w:r>
        <w:t xml:space="preserve">. </w:t>
      </w:r>
      <w:proofErr w:type="gramEnd"/>
      <w:r>
        <w:t>STOP funds should be used for projects that serve or focus on adult and youth (age 11-24) women and girls who are victims of domestic violence, dating violence, sexual assault, or stalking</w:t>
      </w:r>
      <w:proofErr w:type="gramStart"/>
      <w:r>
        <w:t xml:space="preserve">. </w:t>
      </w:r>
      <w:proofErr w:type="gramEnd"/>
      <w:r>
        <w:t xml:space="preserve">In general, victims served with STOP funds must be adults or youth. </w:t>
      </w:r>
    </w:p>
    <w:p w14:paraId="6ACC8D5F" w14:textId="0151A6C9" w:rsidR="007973BA" w:rsidRPr="00FD768E" w:rsidRDefault="007973BA" w:rsidP="001C5966">
      <w:pPr>
        <w:pStyle w:val="Heading2"/>
      </w:pPr>
      <w:bookmarkStart w:id="63" w:name="_Toc58588124"/>
      <w:r w:rsidRPr="00FD768E">
        <w:t>Can STOP funds be used to support prevention programs a media campaigns about violence against women?</w:t>
      </w:r>
      <w:bookmarkEnd w:id="63"/>
    </w:p>
    <w:p w14:paraId="7997AC88" w14:textId="212A4D21" w:rsidR="00DA2214" w:rsidRPr="008B0E59" w:rsidRDefault="00FD768E" w:rsidP="007973BA">
      <w:r>
        <w:t xml:space="preserve">Only 5% of the State’s total VAWA award may be used for “developing, enhancing, or strengthening prevention and educational programming to address domestic violence, dating violence, sexual assault, or stalking.” </w:t>
      </w:r>
      <w:r w:rsidR="00DA2214">
        <w:t>The term prevention includes both primary and secondary prevention efforts.</w:t>
      </w:r>
    </w:p>
    <w:p w14:paraId="0EDFB3B8" w14:textId="084BD20B" w:rsidR="007973BA" w:rsidRPr="00FD768E" w:rsidRDefault="007973BA" w:rsidP="001C5966">
      <w:pPr>
        <w:pStyle w:val="Heading2"/>
      </w:pPr>
      <w:bookmarkStart w:id="64" w:name="_Toc58588125"/>
      <w:r w:rsidRPr="00FD768E">
        <w:t>What is the difference between prevention/education (which is limited to 5</w:t>
      </w:r>
      <w:r w:rsidR="00D109CD">
        <w:t>% of the State’s award) and "outreach"</w:t>
      </w:r>
      <w:r w:rsidRPr="00FD768E">
        <w:t>?</w:t>
      </w:r>
      <w:bookmarkEnd w:id="64"/>
    </w:p>
    <w:p w14:paraId="36FE4FF1" w14:textId="77777777" w:rsidR="00FD768E" w:rsidRPr="00935610" w:rsidRDefault="00FD768E" w:rsidP="007973BA">
      <w:r>
        <w:t>The goal of prevention is to stop or reduce domestic violence, dating violence, sexual assault, and stalking</w:t>
      </w:r>
      <w:proofErr w:type="gramStart"/>
      <w:r>
        <w:t xml:space="preserve">. </w:t>
      </w:r>
      <w:proofErr w:type="gramEnd"/>
      <w:r>
        <w:t>By contrast, an outreach initiative is linked to a specific set of services and the goal is to increase awareness about the services, so that victims know where to go for the services</w:t>
      </w:r>
      <w:proofErr w:type="gramStart"/>
      <w:r w:rsidRPr="00935610">
        <w:t>.</w:t>
      </w:r>
      <w:r w:rsidR="00935610" w:rsidRPr="00935610">
        <w:t xml:space="preserve"> </w:t>
      </w:r>
      <w:proofErr w:type="gramEnd"/>
      <w:r w:rsidR="00935610" w:rsidRPr="00935610">
        <w:t xml:space="preserve">“Prevention” is distinguished from “outreach,” which has the goal of informing victims and potential victims about available services.  </w:t>
      </w:r>
    </w:p>
    <w:p w14:paraId="554DAFEF" w14:textId="77777777" w:rsidR="00935610" w:rsidRPr="008B0E59" w:rsidRDefault="00935610" w:rsidP="004F299C">
      <w:r w:rsidRPr="00935610">
        <w:t>Prevention</w:t>
      </w:r>
      <w:r w:rsidR="004F299C" w:rsidRPr="00935610">
        <w:t xml:space="preserve"> means strategies, programming, and activities to stop both first-time perpetration and first-time victimization</w:t>
      </w:r>
      <w:proofErr w:type="gramStart"/>
      <w:r w:rsidR="004F299C" w:rsidRPr="00935610">
        <w:t xml:space="preserve">. </w:t>
      </w:r>
      <w:proofErr w:type="gramEnd"/>
      <w:r w:rsidRPr="00935610">
        <w:t>Other forms of prevention include</w:t>
      </w:r>
      <w:r w:rsidR="004F299C" w:rsidRPr="00935610">
        <w:t xml:space="preserve"> identifying risk factors or problems that may lead to future domestic violence, dating violence, sexual assault, or stalking and taking the necessary actions to eliminate the risk factors and the potential problem. </w:t>
      </w:r>
    </w:p>
    <w:p w14:paraId="2063466F" w14:textId="33071FE5" w:rsidR="007973BA" w:rsidRPr="003E7DFB" w:rsidRDefault="007973BA" w:rsidP="001C5966">
      <w:pPr>
        <w:pStyle w:val="Heading2"/>
      </w:pPr>
      <w:bookmarkStart w:id="65" w:name="_Toc58588126"/>
      <w:r w:rsidRPr="003E7DFB">
        <w:t>Can STOP funds be used for vehicle purchases?</w:t>
      </w:r>
      <w:bookmarkEnd w:id="65"/>
    </w:p>
    <w:p w14:paraId="1B91C54D" w14:textId="77777777" w:rsidR="003E7DFB" w:rsidRDefault="003E7DFB" w:rsidP="007973BA">
      <w:r>
        <w:t>No, STOP funds cannot be used to purchase vehicles.</w:t>
      </w:r>
    </w:p>
    <w:p w14:paraId="424ADE8F" w14:textId="1AC98883" w:rsidR="00D109CD" w:rsidRPr="00BA1160" w:rsidRDefault="00D109CD" w:rsidP="001C5966">
      <w:pPr>
        <w:pStyle w:val="Heading2"/>
      </w:pPr>
      <w:bookmarkStart w:id="66" w:name="_Toc58588127"/>
      <w:r w:rsidRPr="00BA1160">
        <w:t>Can STOP funds be used for minor renovations or construction?</w:t>
      </w:r>
      <w:bookmarkEnd w:id="66"/>
    </w:p>
    <w:p w14:paraId="4D48E7A5" w14:textId="77777777" w:rsidR="00D109CD" w:rsidRDefault="00D109CD" w:rsidP="00D109CD">
      <w:r>
        <w:t>No, STOP funds cannot be used for any physical renovations to buildings including minor renovations (such as painting or carpeting) or construction.</w:t>
      </w:r>
    </w:p>
    <w:p w14:paraId="00EB7AAA" w14:textId="4A02A181" w:rsidR="007973BA" w:rsidRPr="003E7DFB" w:rsidRDefault="007973BA" w:rsidP="001C5966">
      <w:pPr>
        <w:pStyle w:val="Heading2"/>
      </w:pPr>
      <w:bookmarkStart w:id="67" w:name="_Toc58588128"/>
      <w:r w:rsidRPr="003E7DFB">
        <w:lastRenderedPageBreak/>
        <w:t xml:space="preserve">Who can receive STOP funding under the </w:t>
      </w:r>
      <w:proofErr w:type="gramStart"/>
      <w:r w:rsidRPr="003E7DFB">
        <w:t>courts</w:t>
      </w:r>
      <w:proofErr w:type="gramEnd"/>
      <w:r w:rsidRPr="003E7DFB">
        <w:t xml:space="preserve"> priority?</w:t>
      </w:r>
      <w:bookmarkEnd w:id="67"/>
    </w:p>
    <w:p w14:paraId="64CD7770" w14:textId="5EA22882" w:rsidR="003E7DFB" w:rsidRPr="008B0E59" w:rsidRDefault="003E7DFB" w:rsidP="007973BA">
      <w:r>
        <w:t xml:space="preserve">The “courts” allocation is “to” courts, rather than “for” courts, so the money must be awarded to a court entity. </w:t>
      </w:r>
      <w:r w:rsidR="0025369D">
        <w:t xml:space="preserve"> </w:t>
      </w:r>
      <w:r>
        <w:t xml:space="preserve">This includes state, local, tribal, and juvenile courts. </w:t>
      </w:r>
    </w:p>
    <w:p w14:paraId="396BFFEC" w14:textId="28A1D009" w:rsidR="007973BA" w:rsidRPr="00032B64" w:rsidRDefault="007973BA" w:rsidP="001C5966">
      <w:pPr>
        <w:pStyle w:val="Heading2"/>
      </w:pPr>
      <w:bookmarkStart w:id="68" w:name="_Toc58588129"/>
      <w:r w:rsidRPr="00032B64">
        <w:t xml:space="preserve">Who can serve on the </w:t>
      </w:r>
      <w:r w:rsidR="0020303D">
        <w:t xml:space="preserve">State’s </w:t>
      </w:r>
      <w:r w:rsidRPr="00032B64">
        <w:t>STOP Implementation Plan Advisory Group?</w:t>
      </w:r>
      <w:bookmarkEnd w:id="68"/>
    </w:p>
    <w:p w14:paraId="7F45C5D1" w14:textId="77777777" w:rsidR="003E7DFB" w:rsidRDefault="003E7DFB" w:rsidP="003E7DFB">
      <w:pPr>
        <w:rPr>
          <w:rFonts w:ascii="Calibri" w:hAnsi="Calibri" w:cs="Calibri"/>
        </w:rPr>
      </w:pPr>
      <w:r>
        <w:t xml:space="preserve">Individuals who participate in this group should be </w:t>
      </w:r>
      <w:r w:rsidRPr="003E7DFB">
        <w:rPr>
          <w:bCs/>
        </w:rPr>
        <w:t>direct service staff</w:t>
      </w:r>
      <w:r>
        <w:t xml:space="preserve"> who can provide insight to into domestic violence, dating violence, sexual assault and/or stalking in their communities.  Participation is not limited to GCC-funded programs.  </w:t>
      </w:r>
      <w:r w:rsidRPr="003E7DFB">
        <w:rPr>
          <w:rFonts w:ascii="Calibri" w:hAnsi="Calibri" w:cs="Calibri"/>
        </w:rPr>
        <w:t>The STOP</w:t>
      </w:r>
      <w:r w:rsidR="00032B64">
        <w:rPr>
          <w:rFonts w:ascii="Calibri" w:hAnsi="Calibri" w:cs="Calibri"/>
        </w:rPr>
        <w:t xml:space="preserve"> Implementation Plan Advisory Group provides t</w:t>
      </w:r>
      <w:r w:rsidRPr="003E7DFB">
        <w:rPr>
          <w:rFonts w:ascii="Calibri" w:hAnsi="Calibri" w:cs="Calibri"/>
        </w:rPr>
        <w:t xml:space="preserve">he </w:t>
      </w:r>
      <w:r w:rsidR="00032B64">
        <w:rPr>
          <w:rFonts w:ascii="Calibri" w:hAnsi="Calibri" w:cs="Calibri"/>
        </w:rPr>
        <w:t>opportunity</w:t>
      </w:r>
      <w:r w:rsidRPr="003E7DFB">
        <w:rPr>
          <w:rFonts w:ascii="Calibri" w:hAnsi="Calibri" w:cs="Calibri"/>
        </w:rPr>
        <w:t xml:space="preserve"> for key stakeholders from a variety of disciplines to consider together how to best serve victims and hold offenders accountable. </w:t>
      </w:r>
    </w:p>
    <w:p w14:paraId="32C2CEE6" w14:textId="77777777" w:rsidR="00032B64" w:rsidRDefault="00032B64" w:rsidP="00032B64">
      <w:r>
        <w:t>While not an exhaustive list, we are seeking on-going participation from:</w:t>
      </w:r>
      <w:r>
        <w:rPr>
          <w:color w:val="404040"/>
          <w:sz w:val="36"/>
          <w:szCs w:val="36"/>
        </w:rPr>
        <w:t xml:space="preserve"> </w:t>
      </w:r>
    </w:p>
    <w:p w14:paraId="76881DA6" w14:textId="77777777" w:rsidR="00032B64" w:rsidRDefault="00032B64" w:rsidP="00032B64">
      <w:pPr>
        <w:numPr>
          <w:ilvl w:val="0"/>
          <w:numId w:val="3"/>
        </w:numPr>
        <w:spacing w:after="0" w:line="240" w:lineRule="auto"/>
        <w:rPr>
          <w:rFonts w:eastAsia="Times New Roman"/>
        </w:rPr>
      </w:pPr>
      <w:r>
        <w:rPr>
          <w:rFonts w:eastAsia="Times New Roman"/>
        </w:rPr>
        <w:t>The State Domestic Violence and Sexual Assault Coalitions</w:t>
      </w:r>
    </w:p>
    <w:p w14:paraId="5EE6702D" w14:textId="77777777" w:rsidR="00032B64" w:rsidRDefault="00032B64" w:rsidP="00032B64">
      <w:pPr>
        <w:numPr>
          <w:ilvl w:val="0"/>
          <w:numId w:val="3"/>
        </w:numPr>
        <w:spacing w:after="0" w:line="240" w:lineRule="auto"/>
        <w:rPr>
          <w:rFonts w:eastAsia="Times New Roman"/>
        </w:rPr>
      </w:pPr>
      <w:r>
        <w:rPr>
          <w:rFonts w:eastAsia="Times New Roman"/>
        </w:rPr>
        <w:t>Sexual Assault and Domestic Violence Service Providers</w:t>
      </w:r>
    </w:p>
    <w:p w14:paraId="496A4663" w14:textId="77777777" w:rsidR="00032B64" w:rsidRDefault="00032B64" w:rsidP="00032B64">
      <w:pPr>
        <w:numPr>
          <w:ilvl w:val="0"/>
          <w:numId w:val="3"/>
        </w:numPr>
        <w:spacing w:after="0" w:line="240" w:lineRule="auto"/>
        <w:rPr>
          <w:rFonts w:eastAsia="Times New Roman"/>
        </w:rPr>
      </w:pPr>
      <w:r>
        <w:rPr>
          <w:rFonts w:eastAsia="Times New Roman"/>
        </w:rPr>
        <w:t>Survivors of Domestic Violence, Dating Violence, Sexual Assault, and Stalking</w:t>
      </w:r>
    </w:p>
    <w:p w14:paraId="0D1B2E37" w14:textId="77777777" w:rsidR="00032B64" w:rsidRDefault="00032B64" w:rsidP="00032B64">
      <w:pPr>
        <w:numPr>
          <w:ilvl w:val="0"/>
          <w:numId w:val="3"/>
        </w:numPr>
        <w:spacing w:after="0" w:line="240" w:lineRule="auto"/>
        <w:rPr>
          <w:rFonts w:eastAsia="Times New Roman"/>
        </w:rPr>
      </w:pPr>
      <w:r>
        <w:rPr>
          <w:rFonts w:eastAsia="Times New Roman"/>
        </w:rPr>
        <w:t>State and Local Law Enforcement Organizations</w:t>
      </w:r>
    </w:p>
    <w:p w14:paraId="66C8BD2F" w14:textId="77777777" w:rsidR="00032B64" w:rsidRDefault="00032B64" w:rsidP="00032B64">
      <w:pPr>
        <w:numPr>
          <w:ilvl w:val="0"/>
          <w:numId w:val="3"/>
        </w:numPr>
        <w:spacing w:after="0" w:line="240" w:lineRule="auto"/>
        <w:rPr>
          <w:rFonts w:eastAsia="Times New Roman"/>
        </w:rPr>
      </w:pPr>
      <w:r>
        <w:rPr>
          <w:rFonts w:eastAsia="Times New Roman"/>
        </w:rPr>
        <w:t>District Attorneys and Prosecution Support Staff</w:t>
      </w:r>
    </w:p>
    <w:p w14:paraId="3E0E9FAC" w14:textId="77777777" w:rsidR="00032B64" w:rsidRDefault="00032B64" w:rsidP="00032B64">
      <w:pPr>
        <w:numPr>
          <w:ilvl w:val="0"/>
          <w:numId w:val="3"/>
        </w:numPr>
        <w:spacing w:after="0" w:line="240" w:lineRule="auto"/>
        <w:rPr>
          <w:rFonts w:eastAsia="Times New Roman"/>
        </w:rPr>
      </w:pPr>
      <w:r>
        <w:rPr>
          <w:rFonts w:eastAsia="Times New Roman"/>
        </w:rPr>
        <w:t>State and Local Court Personnel</w:t>
      </w:r>
    </w:p>
    <w:p w14:paraId="52105D07" w14:textId="77777777" w:rsidR="00032B64" w:rsidRDefault="00032B64" w:rsidP="00032B64">
      <w:pPr>
        <w:numPr>
          <w:ilvl w:val="0"/>
          <w:numId w:val="3"/>
        </w:numPr>
        <w:spacing w:after="0" w:line="240" w:lineRule="auto"/>
        <w:rPr>
          <w:rFonts w:eastAsia="Times New Roman"/>
        </w:rPr>
      </w:pPr>
      <w:r>
        <w:rPr>
          <w:rFonts w:eastAsia="Times New Roman"/>
        </w:rPr>
        <w:t>Probation and Parole Personnel</w:t>
      </w:r>
    </w:p>
    <w:p w14:paraId="58CDC3B0" w14:textId="77777777" w:rsidR="00032B64" w:rsidRDefault="00032B64" w:rsidP="00032B64">
      <w:pPr>
        <w:numPr>
          <w:ilvl w:val="0"/>
          <w:numId w:val="3"/>
        </w:numPr>
        <w:spacing w:after="0" w:line="240" w:lineRule="auto"/>
        <w:rPr>
          <w:rFonts w:eastAsia="Times New Roman"/>
        </w:rPr>
      </w:pPr>
      <w:r>
        <w:rPr>
          <w:rFonts w:eastAsia="Times New Roman"/>
        </w:rPr>
        <w:t>Representatives from Tribes, Tribal Organizations, or Tribal Coalitions</w:t>
      </w:r>
    </w:p>
    <w:p w14:paraId="68D91139" w14:textId="77777777" w:rsidR="003E7DFB" w:rsidRDefault="00032B64" w:rsidP="007973BA">
      <w:pPr>
        <w:numPr>
          <w:ilvl w:val="0"/>
          <w:numId w:val="3"/>
        </w:numPr>
        <w:spacing w:after="0" w:line="240" w:lineRule="auto"/>
        <w:rPr>
          <w:rFonts w:eastAsia="Times New Roman"/>
        </w:rPr>
      </w:pPr>
      <w:r>
        <w:rPr>
          <w:rFonts w:eastAsia="Times New Roman"/>
        </w:rPr>
        <w:t>Population Specific Organizations -representing NC’s most significantly underserved populations and culturally specific populations - such as: the elderly, individuals with disabilities, military families, African/African Americans, Latinx, LGBTQ</w:t>
      </w:r>
      <w:proofErr w:type="gramStart"/>
      <w:r>
        <w:rPr>
          <w:rFonts w:eastAsia="Times New Roman"/>
        </w:rPr>
        <w:t>+ ,</w:t>
      </w:r>
      <w:proofErr w:type="gramEnd"/>
      <w:r>
        <w:rPr>
          <w:rFonts w:eastAsia="Times New Roman"/>
        </w:rPr>
        <w:t xml:space="preserve"> and Asian Pacific Islanders</w:t>
      </w:r>
    </w:p>
    <w:p w14:paraId="5F8E15FF" w14:textId="77777777" w:rsidR="001C5966" w:rsidRDefault="001C5966" w:rsidP="0020303D">
      <w:pPr>
        <w:spacing w:after="0" w:line="240" w:lineRule="auto"/>
        <w:rPr>
          <w:rFonts w:eastAsia="Times New Roman"/>
        </w:rPr>
      </w:pPr>
    </w:p>
    <w:p w14:paraId="6A76B330" w14:textId="325770C5" w:rsidR="0020303D" w:rsidRDefault="0020303D" w:rsidP="0020303D">
      <w:pPr>
        <w:spacing w:after="0" w:line="240" w:lineRule="auto"/>
        <w:rPr>
          <w:rFonts w:eastAsia="Times New Roman"/>
        </w:rPr>
      </w:pPr>
      <w:r>
        <w:rPr>
          <w:rFonts w:eastAsia="Times New Roman"/>
        </w:rPr>
        <w:t>If interested, please contact Karen Lombri, VAWA Administrator at 919-733-4564.</w:t>
      </w:r>
    </w:p>
    <w:p w14:paraId="66C51F76" w14:textId="77777777" w:rsidR="00A42926" w:rsidRPr="00A42926" w:rsidRDefault="00A42926" w:rsidP="00A42926">
      <w:pPr>
        <w:spacing w:after="0" w:line="240" w:lineRule="auto"/>
        <w:ind w:left="720"/>
        <w:rPr>
          <w:rFonts w:eastAsia="Times New Roman"/>
        </w:rPr>
      </w:pPr>
    </w:p>
    <w:p w14:paraId="3354E8B4" w14:textId="77777777" w:rsidR="006B1EE3" w:rsidRPr="00A42926" w:rsidRDefault="007973BA" w:rsidP="001C5966">
      <w:pPr>
        <w:pStyle w:val="Heading2"/>
      </w:pPr>
      <w:bookmarkStart w:id="69" w:name="_Toc58588130"/>
      <w:r w:rsidRPr="00A42926">
        <w:t>Why does my project have two STOP Annual Reports due for one funding year?</w:t>
      </w:r>
      <w:bookmarkEnd w:id="69"/>
    </w:p>
    <w:p w14:paraId="5B701E60" w14:textId="22172664" w:rsidR="00A42926" w:rsidRPr="008B0E59" w:rsidRDefault="00A42926" w:rsidP="007973BA">
      <w:r w:rsidRPr="001C5966">
        <w:t xml:space="preserve">The data for </w:t>
      </w:r>
      <w:r w:rsidR="00221357">
        <w:t xml:space="preserve">STOP </w:t>
      </w:r>
      <w:r w:rsidRPr="001C5966">
        <w:t xml:space="preserve">report is </w:t>
      </w:r>
      <w:r w:rsidR="00221357">
        <w:t>based</w:t>
      </w:r>
      <w:r w:rsidRPr="001C5966">
        <w:t xml:space="preserve"> on a calendar yea</w:t>
      </w:r>
      <w:r w:rsidR="00221357">
        <w:t xml:space="preserve">r </w:t>
      </w:r>
      <w:r w:rsidR="00221357" w:rsidRPr="001C5966">
        <w:t xml:space="preserve">and </w:t>
      </w:r>
      <w:r w:rsidR="00221357">
        <w:t>the period of performance for your project crosses two calendar years.  Y</w:t>
      </w:r>
      <w:r w:rsidRPr="001C5966">
        <w:t>ou will have a report reflecting three months (</w:t>
      </w:r>
      <w:r w:rsidR="00221357">
        <w:t>October 1 – December 31st</w:t>
      </w:r>
      <w:r w:rsidRPr="001C5966">
        <w:t>) due January</w:t>
      </w:r>
      <w:r w:rsidR="00221357">
        <w:t xml:space="preserve"> 30</w:t>
      </w:r>
      <w:r w:rsidR="00221357" w:rsidRPr="0025369D">
        <w:rPr>
          <w:vertAlign w:val="superscript"/>
        </w:rPr>
        <w:t>th</w:t>
      </w:r>
      <w:r w:rsidRPr="001C5966">
        <w:t>, and another</w:t>
      </w:r>
      <w:r w:rsidR="00221357">
        <w:t xml:space="preserve"> report</w:t>
      </w:r>
      <w:r w:rsidRPr="001C5966">
        <w:t xml:space="preserve"> that will reflect</w:t>
      </w:r>
      <w:r w:rsidR="00221357">
        <w:t xml:space="preserve"> nine months of your project’s </w:t>
      </w:r>
      <w:r w:rsidRPr="001C5966">
        <w:t xml:space="preserve">performance </w:t>
      </w:r>
      <w:r w:rsidR="00221357">
        <w:t>(January 1</w:t>
      </w:r>
      <w:r w:rsidR="00221357" w:rsidRPr="0025369D">
        <w:rPr>
          <w:vertAlign w:val="superscript"/>
        </w:rPr>
        <w:t>st</w:t>
      </w:r>
      <w:r w:rsidR="00221357">
        <w:t xml:space="preserve"> – September 30th</w:t>
      </w:r>
      <w:bookmarkStart w:id="70" w:name="_GoBack"/>
      <w:bookmarkEnd w:id="70"/>
      <w:r w:rsidR="00221357">
        <w:t>).</w:t>
      </w:r>
    </w:p>
    <w:sectPr w:rsidR="00A42926" w:rsidRPr="008B0E59">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2BB74B" w14:textId="77777777" w:rsidR="00402422" w:rsidRDefault="00402422" w:rsidP="00245B3A">
      <w:pPr>
        <w:spacing w:after="0" w:line="240" w:lineRule="auto"/>
      </w:pPr>
      <w:r>
        <w:separator/>
      </w:r>
    </w:p>
  </w:endnote>
  <w:endnote w:type="continuationSeparator" w:id="0">
    <w:p w14:paraId="0F7A29BD" w14:textId="77777777" w:rsidR="00402422" w:rsidRDefault="00402422" w:rsidP="00245B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DBBC50" w14:textId="4EB3C3BB" w:rsidR="00C93921" w:rsidRDefault="00C93921" w:rsidP="0025369D">
    <w:pPr>
      <w:pStyle w:val="Footer"/>
      <w:jc w:val="right"/>
    </w:pPr>
    <w:r>
      <w:t xml:space="preserve">Page </w:t>
    </w:r>
    <w:r>
      <w:fldChar w:fldCharType="begin"/>
    </w:r>
    <w:r>
      <w:instrText xml:space="preserve"> PAGE   \* MERGEFORMAT </w:instrText>
    </w:r>
    <w:r>
      <w:fldChar w:fldCharType="separate"/>
    </w:r>
    <w:r>
      <w:rPr>
        <w:noProof/>
      </w:rPr>
      <w:t>10</w:t>
    </w:r>
    <w:r>
      <w:fldChar w:fldCharType="end"/>
    </w:r>
    <w:r>
      <w:t xml:space="preserve"> of </w:t>
    </w:r>
    <w:fldSimple w:instr=" NUMPAGES   \* MERGEFORMAT ">
      <w:r>
        <w:rPr>
          <w:noProof/>
        </w:rPr>
        <w:t>22</w:t>
      </w:r>
    </w:fldSimple>
  </w:p>
  <w:p w14:paraId="7486DC9A" w14:textId="77777777" w:rsidR="00402422" w:rsidRDefault="004024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F0B564" w14:textId="77777777" w:rsidR="00402422" w:rsidRDefault="00402422" w:rsidP="00245B3A">
      <w:pPr>
        <w:spacing w:after="0" w:line="240" w:lineRule="auto"/>
      </w:pPr>
      <w:r>
        <w:separator/>
      </w:r>
    </w:p>
  </w:footnote>
  <w:footnote w:type="continuationSeparator" w:id="0">
    <w:p w14:paraId="30397FC6" w14:textId="77777777" w:rsidR="00402422" w:rsidRDefault="00402422" w:rsidP="00245B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92D44"/>
    <w:multiLevelType w:val="hybridMultilevel"/>
    <w:tmpl w:val="9BA45B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3C403C"/>
    <w:multiLevelType w:val="hybridMultilevel"/>
    <w:tmpl w:val="1CFEB7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4224B4A"/>
    <w:multiLevelType w:val="hybridMultilevel"/>
    <w:tmpl w:val="2ED4E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495A52"/>
    <w:multiLevelType w:val="hybridMultilevel"/>
    <w:tmpl w:val="8B68B9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91494C"/>
    <w:multiLevelType w:val="hybridMultilevel"/>
    <w:tmpl w:val="2AE857D2"/>
    <w:lvl w:ilvl="0" w:tplc="D48ED5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22F4C70"/>
    <w:multiLevelType w:val="hybridMultilevel"/>
    <w:tmpl w:val="626C4B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7CE509F"/>
    <w:multiLevelType w:val="hybridMultilevel"/>
    <w:tmpl w:val="31CA9BE2"/>
    <w:lvl w:ilvl="0" w:tplc="9B047DD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E738FE"/>
    <w:multiLevelType w:val="hybridMultilevel"/>
    <w:tmpl w:val="596E3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8B4F35"/>
    <w:multiLevelType w:val="hybridMultilevel"/>
    <w:tmpl w:val="EA463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EB308F"/>
    <w:multiLevelType w:val="hybridMultilevel"/>
    <w:tmpl w:val="14D8E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AA3A0D"/>
    <w:multiLevelType w:val="hybridMultilevel"/>
    <w:tmpl w:val="92DC8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29782E"/>
    <w:multiLevelType w:val="hybridMultilevel"/>
    <w:tmpl w:val="884AFFE6"/>
    <w:lvl w:ilvl="0" w:tplc="DA4E8776">
      <w:start w:val="1"/>
      <w:numFmt w:val="bullet"/>
      <w:lvlText w:val="•"/>
      <w:lvlJc w:val="left"/>
      <w:pPr>
        <w:tabs>
          <w:tab w:val="num" w:pos="720"/>
        </w:tabs>
        <w:ind w:left="720" w:hanging="360"/>
      </w:pPr>
      <w:rPr>
        <w:rFonts w:ascii="Arial" w:hAnsi="Arial" w:cs="Times New Roman" w:hint="default"/>
      </w:rPr>
    </w:lvl>
    <w:lvl w:ilvl="1" w:tplc="3744A610">
      <w:start w:val="1"/>
      <w:numFmt w:val="bullet"/>
      <w:lvlText w:val="•"/>
      <w:lvlJc w:val="left"/>
      <w:pPr>
        <w:tabs>
          <w:tab w:val="num" w:pos="1440"/>
        </w:tabs>
        <w:ind w:left="1440" w:hanging="360"/>
      </w:pPr>
      <w:rPr>
        <w:rFonts w:ascii="Arial" w:hAnsi="Arial" w:cs="Times New Roman" w:hint="default"/>
      </w:rPr>
    </w:lvl>
    <w:lvl w:ilvl="2" w:tplc="41AE1F44">
      <w:start w:val="1"/>
      <w:numFmt w:val="bullet"/>
      <w:lvlText w:val="•"/>
      <w:lvlJc w:val="left"/>
      <w:pPr>
        <w:tabs>
          <w:tab w:val="num" w:pos="2160"/>
        </w:tabs>
        <w:ind w:left="2160" w:hanging="360"/>
      </w:pPr>
      <w:rPr>
        <w:rFonts w:ascii="Arial" w:hAnsi="Arial" w:cs="Times New Roman" w:hint="default"/>
      </w:rPr>
    </w:lvl>
    <w:lvl w:ilvl="3" w:tplc="E35AAB3E">
      <w:start w:val="1"/>
      <w:numFmt w:val="bullet"/>
      <w:lvlText w:val="•"/>
      <w:lvlJc w:val="left"/>
      <w:pPr>
        <w:tabs>
          <w:tab w:val="num" w:pos="2880"/>
        </w:tabs>
        <w:ind w:left="2880" w:hanging="360"/>
      </w:pPr>
      <w:rPr>
        <w:rFonts w:ascii="Arial" w:hAnsi="Arial" w:cs="Times New Roman" w:hint="default"/>
      </w:rPr>
    </w:lvl>
    <w:lvl w:ilvl="4" w:tplc="EDD2379E">
      <w:start w:val="1"/>
      <w:numFmt w:val="bullet"/>
      <w:lvlText w:val="•"/>
      <w:lvlJc w:val="left"/>
      <w:pPr>
        <w:tabs>
          <w:tab w:val="num" w:pos="3600"/>
        </w:tabs>
        <w:ind w:left="3600" w:hanging="360"/>
      </w:pPr>
      <w:rPr>
        <w:rFonts w:ascii="Arial" w:hAnsi="Arial" w:cs="Times New Roman" w:hint="default"/>
      </w:rPr>
    </w:lvl>
    <w:lvl w:ilvl="5" w:tplc="32F8D06C">
      <w:start w:val="1"/>
      <w:numFmt w:val="bullet"/>
      <w:lvlText w:val="•"/>
      <w:lvlJc w:val="left"/>
      <w:pPr>
        <w:tabs>
          <w:tab w:val="num" w:pos="4320"/>
        </w:tabs>
        <w:ind w:left="4320" w:hanging="360"/>
      </w:pPr>
      <w:rPr>
        <w:rFonts w:ascii="Arial" w:hAnsi="Arial" w:cs="Times New Roman" w:hint="default"/>
      </w:rPr>
    </w:lvl>
    <w:lvl w:ilvl="6" w:tplc="6DE8BDDA">
      <w:start w:val="1"/>
      <w:numFmt w:val="bullet"/>
      <w:lvlText w:val="•"/>
      <w:lvlJc w:val="left"/>
      <w:pPr>
        <w:tabs>
          <w:tab w:val="num" w:pos="5040"/>
        </w:tabs>
        <w:ind w:left="5040" w:hanging="360"/>
      </w:pPr>
      <w:rPr>
        <w:rFonts w:ascii="Arial" w:hAnsi="Arial" w:cs="Times New Roman" w:hint="default"/>
      </w:rPr>
    </w:lvl>
    <w:lvl w:ilvl="7" w:tplc="E0583C56">
      <w:start w:val="1"/>
      <w:numFmt w:val="bullet"/>
      <w:lvlText w:val="•"/>
      <w:lvlJc w:val="left"/>
      <w:pPr>
        <w:tabs>
          <w:tab w:val="num" w:pos="5760"/>
        </w:tabs>
        <w:ind w:left="5760" w:hanging="360"/>
      </w:pPr>
      <w:rPr>
        <w:rFonts w:ascii="Arial" w:hAnsi="Arial" w:cs="Times New Roman" w:hint="default"/>
      </w:rPr>
    </w:lvl>
    <w:lvl w:ilvl="8" w:tplc="FF6C57B6">
      <w:start w:val="1"/>
      <w:numFmt w:val="bullet"/>
      <w:lvlText w:val="•"/>
      <w:lvlJc w:val="left"/>
      <w:pPr>
        <w:tabs>
          <w:tab w:val="num" w:pos="6480"/>
        </w:tabs>
        <w:ind w:left="6480" w:hanging="360"/>
      </w:pPr>
      <w:rPr>
        <w:rFonts w:ascii="Arial" w:hAnsi="Arial" w:cs="Times New Roman" w:hint="default"/>
      </w:rPr>
    </w:lvl>
  </w:abstractNum>
  <w:abstractNum w:abstractNumId="12" w15:restartNumberingAfterBreak="0">
    <w:nsid w:val="4FB51F38"/>
    <w:multiLevelType w:val="hybridMultilevel"/>
    <w:tmpl w:val="AAB2EB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9FC71CA"/>
    <w:multiLevelType w:val="hybridMultilevel"/>
    <w:tmpl w:val="52587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1DF7DE3"/>
    <w:multiLevelType w:val="hybridMultilevel"/>
    <w:tmpl w:val="6FA237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75411B96"/>
    <w:multiLevelType w:val="hybridMultilevel"/>
    <w:tmpl w:val="682608AA"/>
    <w:lvl w:ilvl="0" w:tplc="1C4295EE">
      <w:numFmt w:val="bullet"/>
      <w:lvlText w:val=""/>
      <w:lvlJc w:val="left"/>
      <w:pPr>
        <w:ind w:left="720" w:hanging="360"/>
      </w:pPr>
      <w:rPr>
        <w:rFonts w:ascii="Wingdings" w:eastAsiaTheme="minorHAnsi" w:hAnsi="Wingdings" w:cstheme="minorHAnsi"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11"/>
  </w:num>
  <w:num w:numId="4">
    <w:abstractNumId w:val="6"/>
  </w:num>
  <w:num w:numId="5">
    <w:abstractNumId w:val="12"/>
  </w:num>
  <w:num w:numId="6">
    <w:abstractNumId w:val="13"/>
  </w:num>
  <w:num w:numId="7">
    <w:abstractNumId w:val="4"/>
  </w:num>
  <w:num w:numId="8">
    <w:abstractNumId w:val="10"/>
  </w:num>
  <w:num w:numId="9">
    <w:abstractNumId w:val="5"/>
  </w:num>
  <w:num w:numId="10">
    <w:abstractNumId w:val="14"/>
  </w:num>
  <w:num w:numId="11">
    <w:abstractNumId w:val="9"/>
  </w:num>
  <w:num w:numId="12">
    <w:abstractNumId w:val="2"/>
  </w:num>
  <w:num w:numId="13">
    <w:abstractNumId w:val="8"/>
  </w:num>
  <w:num w:numId="14">
    <w:abstractNumId w:val="1"/>
  </w:num>
  <w:num w:numId="15">
    <w:abstractNumId w:val="0"/>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A6A"/>
    <w:rsid w:val="00001B95"/>
    <w:rsid w:val="00024FDB"/>
    <w:rsid w:val="00032B64"/>
    <w:rsid w:val="00053D77"/>
    <w:rsid w:val="000629B5"/>
    <w:rsid w:val="00096131"/>
    <w:rsid w:val="000B1644"/>
    <w:rsid w:val="000C327B"/>
    <w:rsid w:val="000C5C7A"/>
    <w:rsid w:val="000D1E80"/>
    <w:rsid w:val="000F4A52"/>
    <w:rsid w:val="00107D2E"/>
    <w:rsid w:val="001168C6"/>
    <w:rsid w:val="0011736F"/>
    <w:rsid w:val="001229CD"/>
    <w:rsid w:val="001235C3"/>
    <w:rsid w:val="00135758"/>
    <w:rsid w:val="00162194"/>
    <w:rsid w:val="001734A3"/>
    <w:rsid w:val="00186E54"/>
    <w:rsid w:val="001A3EEA"/>
    <w:rsid w:val="001C5966"/>
    <w:rsid w:val="001D5B4B"/>
    <w:rsid w:val="001D60EB"/>
    <w:rsid w:val="001E7405"/>
    <w:rsid w:val="0020303D"/>
    <w:rsid w:val="002034C3"/>
    <w:rsid w:val="002044DB"/>
    <w:rsid w:val="00213C07"/>
    <w:rsid w:val="00216600"/>
    <w:rsid w:val="0021707D"/>
    <w:rsid w:val="00220815"/>
    <w:rsid w:val="00221357"/>
    <w:rsid w:val="00232598"/>
    <w:rsid w:val="00245B3A"/>
    <w:rsid w:val="0025195C"/>
    <w:rsid w:val="0025369D"/>
    <w:rsid w:val="00256EE9"/>
    <w:rsid w:val="00257E2E"/>
    <w:rsid w:val="0026214C"/>
    <w:rsid w:val="0026626E"/>
    <w:rsid w:val="0027240E"/>
    <w:rsid w:val="002868F7"/>
    <w:rsid w:val="002B04DC"/>
    <w:rsid w:val="002D496F"/>
    <w:rsid w:val="002D7AC3"/>
    <w:rsid w:val="002E50A1"/>
    <w:rsid w:val="003268DD"/>
    <w:rsid w:val="0033471E"/>
    <w:rsid w:val="00336662"/>
    <w:rsid w:val="00344487"/>
    <w:rsid w:val="003503A2"/>
    <w:rsid w:val="00356115"/>
    <w:rsid w:val="00360C34"/>
    <w:rsid w:val="003661FC"/>
    <w:rsid w:val="003775D7"/>
    <w:rsid w:val="003912D0"/>
    <w:rsid w:val="00393538"/>
    <w:rsid w:val="003A22D4"/>
    <w:rsid w:val="003E7DFB"/>
    <w:rsid w:val="003F366A"/>
    <w:rsid w:val="003F4BC5"/>
    <w:rsid w:val="003F5533"/>
    <w:rsid w:val="00402422"/>
    <w:rsid w:val="004071CA"/>
    <w:rsid w:val="0041378A"/>
    <w:rsid w:val="00424576"/>
    <w:rsid w:val="0044558C"/>
    <w:rsid w:val="00460BAF"/>
    <w:rsid w:val="0047721F"/>
    <w:rsid w:val="00491559"/>
    <w:rsid w:val="0049268C"/>
    <w:rsid w:val="004A1F2B"/>
    <w:rsid w:val="004A6E8C"/>
    <w:rsid w:val="004D330B"/>
    <w:rsid w:val="004D5D19"/>
    <w:rsid w:val="004D661A"/>
    <w:rsid w:val="004F299C"/>
    <w:rsid w:val="005021B5"/>
    <w:rsid w:val="00505433"/>
    <w:rsid w:val="00510DB9"/>
    <w:rsid w:val="00512BD6"/>
    <w:rsid w:val="00547BD9"/>
    <w:rsid w:val="005573D0"/>
    <w:rsid w:val="00571FF0"/>
    <w:rsid w:val="0058712F"/>
    <w:rsid w:val="00587C54"/>
    <w:rsid w:val="005A7B7D"/>
    <w:rsid w:val="005B5F65"/>
    <w:rsid w:val="005D3546"/>
    <w:rsid w:val="005F0AA1"/>
    <w:rsid w:val="00604064"/>
    <w:rsid w:val="00617C67"/>
    <w:rsid w:val="00624847"/>
    <w:rsid w:val="006276B6"/>
    <w:rsid w:val="00640D24"/>
    <w:rsid w:val="00666B82"/>
    <w:rsid w:val="006859FC"/>
    <w:rsid w:val="006A3501"/>
    <w:rsid w:val="006B1EE3"/>
    <w:rsid w:val="006C307F"/>
    <w:rsid w:val="006E23A3"/>
    <w:rsid w:val="006E47D3"/>
    <w:rsid w:val="006E58E2"/>
    <w:rsid w:val="006F1EB6"/>
    <w:rsid w:val="006F6BD1"/>
    <w:rsid w:val="007078B7"/>
    <w:rsid w:val="00714A41"/>
    <w:rsid w:val="0072348D"/>
    <w:rsid w:val="00743E97"/>
    <w:rsid w:val="00770A7E"/>
    <w:rsid w:val="00780F94"/>
    <w:rsid w:val="00784FE3"/>
    <w:rsid w:val="007973BA"/>
    <w:rsid w:val="007B4C9E"/>
    <w:rsid w:val="007B6F62"/>
    <w:rsid w:val="007C4F1B"/>
    <w:rsid w:val="007C6961"/>
    <w:rsid w:val="007E27C4"/>
    <w:rsid w:val="007E5BFC"/>
    <w:rsid w:val="007E646F"/>
    <w:rsid w:val="007F6099"/>
    <w:rsid w:val="008258F6"/>
    <w:rsid w:val="008407F7"/>
    <w:rsid w:val="00847C11"/>
    <w:rsid w:val="00855A82"/>
    <w:rsid w:val="00855E64"/>
    <w:rsid w:val="00870BAE"/>
    <w:rsid w:val="008733F8"/>
    <w:rsid w:val="00875935"/>
    <w:rsid w:val="00882BD0"/>
    <w:rsid w:val="008A0CBA"/>
    <w:rsid w:val="008A62E6"/>
    <w:rsid w:val="008A7058"/>
    <w:rsid w:val="008A7AF9"/>
    <w:rsid w:val="008B0E59"/>
    <w:rsid w:val="008C5071"/>
    <w:rsid w:val="008D24A7"/>
    <w:rsid w:val="008D5ED5"/>
    <w:rsid w:val="008F55D5"/>
    <w:rsid w:val="009009DE"/>
    <w:rsid w:val="00935610"/>
    <w:rsid w:val="00955533"/>
    <w:rsid w:val="009659E1"/>
    <w:rsid w:val="009A1943"/>
    <w:rsid w:val="009A7C5D"/>
    <w:rsid w:val="009B7C75"/>
    <w:rsid w:val="009D2ABE"/>
    <w:rsid w:val="009D642D"/>
    <w:rsid w:val="009E016C"/>
    <w:rsid w:val="009E1091"/>
    <w:rsid w:val="009F014E"/>
    <w:rsid w:val="00A1667E"/>
    <w:rsid w:val="00A17646"/>
    <w:rsid w:val="00A34A05"/>
    <w:rsid w:val="00A40FE8"/>
    <w:rsid w:val="00A42926"/>
    <w:rsid w:val="00A439C2"/>
    <w:rsid w:val="00A50890"/>
    <w:rsid w:val="00A538A4"/>
    <w:rsid w:val="00A545D2"/>
    <w:rsid w:val="00A55832"/>
    <w:rsid w:val="00A60AA6"/>
    <w:rsid w:val="00A63A5C"/>
    <w:rsid w:val="00A81EBF"/>
    <w:rsid w:val="00AB57E2"/>
    <w:rsid w:val="00AB6E9A"/>
    <w:rsid w:val="00AC73C5"/>
    <w:rsid w:val="00AC7465"/>
    <w:rsid w:val="00AE5F59"/>
    <w:rsid w:val="00AF41BD"/>
    <w:rsid w:val="00B01895"/>
    <w:rsid w:val="00B34806"/>
    <w:rsid w:val="00B36F1E"/>
    <w:rsid w:val="00B41430"/>
    <w:rsid w:val="00B42F31"/>
    <w:rsid w:val="00B60A0B"/>
    <w:rsid w:val="00B64DAE"/>
    <w:rsid w:val="00B70C03"/>
    <w:rsid w:val="00B977E1"/>
    <w:rsid w:val="00BA48F2"/>
    <w:rsid w:val="00BC324C"/>
    <w:rsid w:val="00BD7510"/>
    <w:rsid w:val="00C01826"/>
    <w:rsid w:val="00C24D5A"/>
    <w:rsid w:val="00C25D0F"/>
    <w:rsid w:val="00C40573"/>
    <w:rsid w:val="00C440F0"/>
    <w:rsid w:val="00C447C1"/>
    <w:rsid w:val="00C93921"/>
    <w:rsid w:val="00CB5A48"/>
    <w:rsid w:val="00CD32DC"/>
    <w:rsid w:val="00D05079"/>
    <w:rsid w:val="00D07C9F"/>
    <w:rsid w:val="00D109CD"/>
    <w:rsid w:val="00D2403A"/>
    <w:rsid w:val="00D27C7F"/>
    <w:rsid w:val="00D41587"/>
    <w:rsid w:val="00D64017"/>
    <w:rsid w:val="00D77CE6"/>
    <w:rsid w:val="00DA2214"/>
    <w:rsid w:val="00DA7A01"/>
    <w:rsid w:val="00DB4E43"/>
    <w:rsid w:val="00DE149B"/>
    <w:rsid w:val="00DF2570"/>
    <w:rsid w:val="00DF4276"/>
    <w:rsid w:val="00DF7BB7"/>
    <w:rsid w:val="00E14364"/>
    <w:rsid w:val="00E218DD"/>
    <w:rsid w:val="00E22A75"/>
    <w:rsid w:val="00E521C4"/>
    <w:rsid w:val="00E52DDD"/>
    <w:rsid w:val="00E56047"/>
    <w:rsid w:val="00E6283B"/>
    <w:rsid w:val="00E71724"/>
    <w:rsid w:val="00E73916"/>
    <w:rsid w:val="00E930D4"/>
    <w:rsid w:val="00EE39D8"/>
    <w:rsid w:val="00EE4301"/>
    <w:rsid w:val="00EF5015"/>
    <w:rsid w:val="00F03A6A"/>
    <w:rsid w:val="00F0661E"/>
    <w:rsid w:val="00F06641"/>
    <w:rsid w:val="00F15F14"/>
    <w:rsid w:val="00F179B1"/>
    <w:rsid w:val="00F2408C"/>
    <w:rsid w:val="00F35445"/>
    <w:rsid w:val="00F43CCA"/>
    <w:rsid w:val="00F50CFD"/>
    <w:rsid w:val="00F522BB"/>
    <w:rsid w:val="00F563F5"/>
    <w:rsid w:val="00F70DC1"/>
    <w:rsid w:val="00F73C5C"/>
    <w:rsid w:val="00F8042F"/>
    <w:rsid w:val="00FD768E"/>
    <w:rsid w:val="00FE3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6C62044"/>
  <w15:chartTrackingRefBased/>
  <w15:docId w15:val="{7D8AD0F9-D537-42DB-B4DF-424ED4452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642D"/>
    <w:pPr>
      <w:keepNext/>
      <w:keepLines/>
      <w:spacing w:before="120" w:after="120"/>
      <w:outlineLvl w:val="0"/>
    </w:pPr>
    <w:rPr>
      <w:rFonts w:ascii="Calibri" w:eastAsiaTheme="majorEastAsia" w:hAnsi="Calibri" w:cstheme="majorBidi"/>
      <w:b/>
      <w:color w:val="000000" w:themeColor="text1"/>
      <w:sz w:val="30"/>
      <w:szCs w:val="32"/>
      <w:u w:val="single"/>
    </w:rPr>
  </w:style>
  <w:style w:type="paragraph" w:styleId="Heading2">
    <w:name w:val="heading 2"/>
    <w:basedOn w:val="Normal"/>
    <w:next w:val="Normal"/>
    <w:link w:val="Heading2Char"/>
    <w:uiPriority w:val="9"/>
    <w:unhideWhenUsed/>
    <w:qFormat/>
    <w:rsid w:val="009D642D"/>
    <w:pPr>
      <w:keepNext/>
      <w:keepLines/>
      <w:spacing w:before="40" w:after="0"/>
      <w:outlineLvl w:val="1"/>
    </w:pPr>
    <w:rPr>
      <w:rFonts w:eastAsiaTheme="majorEastAsia" w:cstheme="majorBidi"/>
      <w:b/>
      <w:color w:val="000000" w:themeColor="text1"/>
      <w:sz w:val="26"/>
      <w:szCs w:val="26"/>
    </w:rPr>
  </w:style>
  <w:style w:type="paragraph" w:styleId="Heading3">
    <w:name w:val="heading 3"/>
    <w:basedOn w:val="Normal"/>
    <w:next w:val="Normal"/>
    <w:link w:val="Heading3Char"/>
    <w:uiPriority w:val="9"/>
    <w:unhideWhenUsed/>
    <w:qFormat/>
    <w:rsid w:val="00847C1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F6099"/>
    <w:rPr>
      <w:color w:val="0563C1" w:themeColor="hyperlink"/>
      <w:u w:val="single"/>
    </w:rPr>
  </w:style>
  <w:style w:type="paragraph" w:styleId="Header">
    <w:name w:val="header"/>
    <w:basedOn w:val="Normal"/>
    <w:link w:val="HeaderChar"/>
    <w:uiPriority w:val="99"/>
    <w:unhideWhenUsed/>
    <w:rsid w:val="00245B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5B3A"/>
  </w:style>
  <w:style w:type="paragraph" w:styleId="Footer">
    <w:name w:val="footer"/>
    <w:basedOn w:val="Normal"/>
    <w:link w:val="FooterChar"/>
    <w:uiPriority w:val="99"/>
    <w:unhideWhenUsed/>
    <w:rsid w:val="00245B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5B3A"/>
  </w:style>
  <w:style w:type="paragraph" w:styleId="ListParagraph">
    <w:name w:val="List Paragraph"/>
    <w:basedOn w:val="Normal"/>
    <w:uiPriority w:val="34"/>
    <w:qFormat/>
    <w:rsid w:val="00882BD0"/>
    <w:pPr>
      <w:ind w:left="720"/>
      <w:contextualSpacing/>
    </w:pPr>
  </w:style>
  <w:style w:type="character" w:customStyle="1" w:styleId="Heading1Char">
    <w:name w:val="Heading 1 Char"/>
    <w:basedOn w:val="DefaultParagraphFont"/>
    <w:link w:val="Heading1"/>
    <w:uiPriority w:val="9"/>
    <w:rsid w:val="009D642D"/>
    <w:rPr>
      <w:rFonts w:ascii="Calibri" w:eastAsiaTheme="majorEastAsia" w:hAnsi="Calibri" w:cstheme="majorBidi"/>
      <w:b/>
      <w:color w:val="000000" w:themeColor="text1"/>
      <w:sz w:val="30"/>
      <w:szCs w:val="32"/>
      <w:u w:val="single"/>
    </w:rPr>
  </w:style>
  <w:style w:type="paragraph" w:styleId="TOCHeading">
    <w:name w:val="TOC Heading"/>
    <w:basedOn w:val="Heading1"/>
    <w:next w:val="Normal"/>
    <w:uiPriority w:val="39"/>
    <w:unhideWhenUsed/>
    <w:qFormat/>
    <w:rsid w:val="006B1EE3"/>
    <w:pPr>
      <w:outlineLvl w:val="9"/>
    </w:pPr>
  </w:style>
  <w:style w:type="paragraph" w:styleId="TOC2">
    <w:name w:val="toc 2"/>
    <w:basedOn w:val="Normal"/>
    <w:next w:val="Normal"/>
    <w:autoRedefine/>
    <w:uiPriority w:val="39"/>
    <w:unhideWhenUsed/>
    <w:rsid w:val="006B1EE3"/>
    <w:pPr>
      <w:spacing w:after="100"/>
      <w:ind w:left="220"/>
    </w:pPr>
    <w:rPr>
      <w:rFonts w:eastAsiaTheme="minorEastAsia" w:cs="Times New Roman"/>
    </w:rPr>
  </w:style>
  <w:style w:type="paragraph" w:styleId="TOC1">
    <w:name w:val="toc 1"/>
    <w:basedOn w:val="Normal"/>
    <w:next w:val="Normal"/>
    <w:autoRedefine/>
    <w:uiPriority w:val="39"/>
    <w:unhideWhenUsed/>
    <w:rsid w:val="006B1EE3"/>
    <w:pPr>
      <w:spacing w:after="100"/>
    </w:pPr>
    <w:rPr>
      <w:rFonts w:eastAsiaTheme="minorEastAsia" w:cs="Times New Roman"/>
    </w:rPr>
  </w:style>
  <w:style w:type="paragraph" w:styleId="TOC3">
    <w:name w:val="toc 3"/>
    <w:basedOn w:val="Normal"/>
    <w:next w:val="Normal"/>
    <w:autoRedefine/>
    <w:uiPriority w:val="39"/>
    <w:unhideWhenUsed/>
    <w:rsid w:val="006B1EE3"/>
    <w:pPr>
      <w:spacing w:after="100"/>
      <w:ind w:left="440"/>
    </w:pPr>
    <w:rPr>
      <w:rFonts w:eastAsiaTheme="minorEastAsia" w:cs="Times New Roman"/>
    </w:rPr>
  </w:style>
  <w:style w:type="character" w:customStyle="1" w:styleId="Heading2Char">
    <w:name w:val="Heading 2 Char"/>
    <w:basedOn w:val="DefaultParagraphFont"/>
    <w:link w:val="Heading2"/>
    <w:uiPriority w:val="9"/>
    <w:rsid w:val="009D642D"/>
    <w:rPr>
      <w:rFonts w:eastAsiaTheme="majorEastAsia" w:cstheme="majorBidi"/>
      <w:b/>
      <w:color w:val="000000" w:themeColor="text1"/>
      <w:sz w:val="26"/>
      <w:szCs w:val="26"/>
    </w:rPr>
  </w:style>
  <w:style w:type="character" w:styleId="UnresolvedMention">
    <w:name w:val="Unresolved Mention"/>
    <w:basedOn w:val="DefaultParagraphFont"/>
    <w:uiPriority w:val="99"/>
    <w:semiHidden/>
    <w:unhideWhenUsed/>
    <w:rsid w:val="004A6E8C"/>
    <w:rPr>
      <w:color w:val="808080"/>
      <w:shd w:val="clear" w:color="auto" w:fill="E6E6E6"/>
    </w:rPr>
  </w:style>
  <w:style w:type="table" w:styleId="TableGrid">
    <w:name w:val="Table Grid"/>
    <w:basedOn w:val="TableNormal"/>
    <w:uiPriority w:val="39"/>
    <w:rsid w:val="005D35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447C1"/>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7078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78B7"/>
    <w:rPr>
      <w:rFonts w:ascii="Segoe UI" w:hAnsi="Segoe UI" w:cs="Segoe UI"/>
      <w:sz w:val="18"/>
      <w:szCs w:val="18"/>
    </w:rPr>
  </w:style>
  <w:style w:type="character" w:customStyle="1" w:styleId="Heading3Char">
    <w:name w:val="Heading 3 Char"/>
    <w:basedOn w:val="DefaultParagraphFont"/>
    <w:link w:val="Heading3"/>
    <w:uiPriority w:val="9"/>
    <w:rsid w:val="00847C11"/>
    <w:rPr>
      <w:rFonts w:asciiTheme="majorHAnsi" w:eastAsiaTheme="majorEastAsia" w:hAnsiTheme="majorHAnsi" w:cstheme="majorBidi"/>
      <w:color w:val="1F3763" w:themeColor="accent1" w:themeShade="7F"/>
      <w:sz w:val="24"/>
      <w:szCs w:val="24"/>
    </w:rPr>
  </w:style>
  <w:style w:type="paragraph" w:styleId="NoSpacing">
    <w:name w:val="No Spacing"/>
    <w:uiPriority w:val="1"/>
    <w:qFormat/>
    <w:rsid w:val="00847C11"/>
    <w:pPr>
      <w:spacing w:after="0" w:line="240" w:lineRule="auto"/>
    </w:pPr>
  </w:style>
  <w:style w:type="paragraph" w:customStyle="1" w:styleId="TOCStyle">
    <w:name w:val="TOC Style"/>
    <w:basedOn w:val="Heading2"/>
    <w:link w:val="TOCStyleChar"/>
    <w:qFormat/>
    <w:rsid w:val="00D2403A"/>
  </w:style>
  <w:style w:type="character" w:customStyle="1" w:styleId="TOCStyleChar">
    <w:name w:val="TOC Style Char"/>
    <w:basedOn w:val="Heading2Char"/>
    <w:link w:val="TOCStyle"/>
    <w:rsid w:val="00D2403A"/>
    <w:rPr>
      <w:rFonts w:asciiTheme="majorHAnsi" w:eastAsiaTheme="majorEastAsia" w:hAnsiTheme="majorHAnsi" w:cstheme="majorBidi"/>
      <w:b/>
      <w:color w:val="000000" w:themeColor="text1"/>
      <w:sz w:val="26"/>
      <w:szCs w:val="26"/>
    </w:rPr>
  </w:style>
  <w:style w:type="character" w:styleId="FollowedHyperlink">
    <w:name w:val="FollowedHyperlink"/>
    <w:basedOn w:val="DefaultParagraphFont"/>
    <w:uiPriority w:val="99"/>
    <w:semiHidden/>
    <w:unhideWhenUsed/>
    <w:rsid w:val="00F43CCA"/>
    <w:rPr>
      <w:color w:val="954F72" w:themeColor="followedHyperlink"/>
      <w:u w:val="single"/>
    </w:rPr>
  </w:style>
  <w:style w:type="character" w:styleId="CommentReference">
    <w:name w:val="annotation reference"/>
    <w:basedOn w:val="DefaultParagraphFont"/>
    <w:uiPriority w:val="99"/>
    <w:semiHidden/>
    <w:unhideWhenUsed/>
    <w:rsid w:val="00053D77"/>
    <w:rPr>
      <w:sz w:val="16"/>
      <w:szCs w:val="16"/>
    </w:rPr>
  </w:style>
  <w:style w:type="paragraph" w:styleId="CommentText">
    <w:name w:val="annotation text"/>
    <w:basedOn w:val="Normal"/>
    <w:link w:val="CommentTextChar"/>
    <w:uiPriority w:val="99"/>
    <w:semiHidden/>
    <w:unhideWhenUsed/>
    <w:rsid w:val="00053D77"/>
    <w:pPr>
      <w:spacing w:line="240" w:lineRule="auto"/>
    </w:pPr>
    <w:rPr>
      <w:sz w:val="20"/>
      <w:szCs w:val="20"/>
    </w:rPr>
  </w:style>
  <w:style w:type="character" w:customStyle="1" w:styleId="CommentTextChar">
    <w:name w:val="Comment Text Char"/>
    <w:basedOn w:val="DefaultParagraphFont"/>
    <w:link w:val="CommentText"/>
    <w:uiPriority w:val="99"/>
    <w:semiHidden/>
    <w:rsid w:val="00053D77"/>
    <w:rPr>
      <w:sz w:val="20"/>
      <w:szCs w:val="20"/>
    </w:rPr>
  </w:style>
  <w:style w:type="paragraph" w:styleId="CommentSubject">
    <w:name w:val="annotation subject"/>
    <w:basedOn w:val="CommentText"/>
    <w:next w:val="CommentText"/>
    <w:link w:val="CommentSubjectChar"/>
    <w:uiPriority w:val="99"/>
    <w:semiHidden/>
    <w:unhideWhenUsed/>
    <w:rsid w:val="00053D77"/>
    <w:rPr>
      <w:b/>
      <w:bCs/>
    </w:rPr>
  </w:style>
  <w:style w:type="character" w:customStyle="1" w:styleId="CommentSubjectChar">
    <w:name w:val="Comment Subject Char"/>
    <w:basedOn w:val="CommentTextChar"/>
    <w:link w:val="CommentSubject"/>
    <w:uiPriority w:val="99"/>
    <w:semiHidden/>
    <w:rsid w:val="00053D7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944983">
      <w:bodyDiv w:val="1"/>
      <w:marLeft w:val="0"/>
      <w:marRight w:val="0"/>
      <w:marTop w:val="0"/>
      <w:marBottom w:val="0"/>
      <w:divBdr>
        <w:top w:val="none" w:sz="0" w:space="0" w:color="auto"/>
        <w:left w:val="none" w:sz="0" w:space="0" w:color="auto"/>
        <w:bottom w:val="none" w:sz="0" w:space="0" w:color="auto"/>
        <w:right w:val="none" w:sz="0" w:space="0" w:color="auto"/>
      </w:divBdr>
    </w:div>
    <w:div w:id="105735527">
      <w:bodyDiv w:val="1"/>
      <w:marLeft w:val="0"/>
      <w:marRight w:val="0"/>
      <w:marTop w:val="0"/>
      <w:marBottom w:val="0"/>
      <w:divBdr>
        <w:top w:val="none" w:sz="0" w:space="0" w:color="auto"/>
        <w:left w:val="none" w:sz="0" w:space="0" w:color="auto"/>
        <w:bottom w:val="none" w:sz="0" w:space="0" w:color="auto"/>
        <w:right w:val="none" w:sz="0" w:space="0" w:color="auto"/>
      </w:divBdr>
    </w:div>
    <w:div w:id="203521495">
      <w:bodyDiv w:val="1"/>
      <w:marLeft w:val="0"/>
      <w:marRight w:val="0"/>
      <w:marTop w:val="0"/>
      <w:marBottom w:val="0"/>
      <w:divBdr>
        <w:top w:val="none" w:sz="0" w:space="0" w:color="auto"/>
        <w:left w:val="none" w:sz="0" w:space="0" w:color="auto"/>
        <w:bottom w:val="none" w:sz="0" w:space="0" w:color="auto"/>
        <w:right w:val="none" w:sz="0" w:space="0" w:color="auto"/>
      </w:divBdr>
    </w:div>
    <w:div w:id="230383895">
      <w:bodyDiv w:val="1"/>
      <w:marLeft w:val="0"/>
      <w:marRight w:val="0"/>
      <w:marTop w:val="0"/>
      <w:marBottom w:val="0"/>
      <w:divBdr>
        <w:top w:val="none" w:sz="0" w:space="0" w:color="auto"/>
        <w:left w:val="none" w:sz="0" w:space="0" w:color="auto"/>
        <w:bottom w:val="none" w:sz="0" w:space="0" w:color="auto"/>
        <w:right w:val="none" w:sz="0" w:space="0" w:color="auto"/>
      </w:divBdr>
    </w:div>
    <w:div w:id="977302893">
      <w:bodyDiv w:val="1"/>
      <w:marLeft w:val="0"/>
      <w:marRight w:val="0"/>
      <w:marTop w:val="0"/>
      <w:marBottom w:val="0"/>
      <w:divBdr>
        <w:top w:val="none" w:sz="0" w:space="0" w:color="auto"/>
        <w:left w:val="none" w:sz="0" w:space="0" w:color="auto"/>
        <w:bottom w:val="none" w:sz="0" w:space="0" w:color="auto"/>
        <w:right w:val="none" w:sz="0" w:space="0" w:color="auto"/>
      </w:divBdr>
    </w:div>
    <w:div w:id="1073351821">
      <w:bodyDiv w:val="1"/>
      <w:marLeft w:val="0"/>
      <w:marRight w:val="0"/>
      <w:marTop w:val="0"/>
      <w:marBottom w:val="0"/>
      <w:divBdr>
        <w:top w:val="none" w:sz="0" w:space="0" w:color="auto"/>
        <w:left w:val="none" w:sz="0" w:space="0" w:color="auto"/>
        <w:bottom w:val="none" w:sz="0" w:space="0" w:color="auto"/>
        <w:right w:val="none" w:sz="0" w:space="0" w:color="auto"/>
      </w:divBdr>
    </w:div>
    <w:div w:id="1075863452">
      <w:bodyDiv w:val="1"/>
      <w:marLeft w:val="0"/>
      <w:marRight w:val="0"/>
      <w:marTop w:val="0"/>
      <w:marBottom w:val="0"/>
      <w:divBdr>
        <w:top w:val="none" w:sz="0" w:space="0" w:color="auto"/>
        <w:left w:val="none" w:sz="0" w:space="0" w:color="auto"/>
        <w:bottom w:val="none" w:sz="0" w:space="0" w:color="auto"/>
        <w:right w:val="none" w:sz="0" w:space="0" w:color="auto"/>
      </w:divBdr>
    </w:div>
    <w:div w:id="1606886693">
      <w:bodyDiv w:val="1"/>
      <w:marLeft w:val="0"/>
      <w:marRight w:val="0"/>
      <w:marTop w:val="0"/>
      <w:marBottom w:val="0"/>
      <w:divBdr>
        <w:top w:val="none" w:sz="0" w:space="0" w:color="auto"/>
        <w:left w:val="none" w:sz="0" w:space="0" w:color="auto"/>
        <w:bottom w:val="none" w:sz="0" w:space="0" w:color="auto"/>
        <w:right w:val="none" w:sz="0" w:space="0" w:color="auto"/>
      </w:divBdr>
    </w:div>
    <w:div w:id="1820266466">
      <w:bodyDiv w:val="1"/>
      <w:marLeft w:val="0"/>
      <w:marRight w:val="0"/>
      <w:marTop w:val="0"/>
      <w:marBottom w:val="0"/>
      <w:divBdr>
        <w:top w:val="none" w:sz="0" w:space="0" w:color="auto"/>
        <w:left w:val="none" w:sz="0" w:space="0" w:color="auto"/>
        <w:bottom w:val="none" w:sz="0" w:space="0" w:color="auto"/>
        <w:right w:val="none" w:sz="0" w:space="0" w:color="auto"/>
      </w:divBdr>
    </w:div>
    <w:div w:id="1928153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ndy.dixon@ncdps.gov" TargetMode="External"/><Relationship Id="rId13" Type="http://schemas.openxmlformats.org/officeDocument/2006/relationships/hyperlink" Target="https://ncid.nc.gov/" TargetMode="External"/><Relationship Id="rId18" Type="http://schemas.openxmlformats.org/officeDocument/2006/relationships/hyperlink" Target="https://www.nccourts.gov/commissions/human-trafficking-commission" TargetMode="External"/><Relationship Id="rId3" Type="http://schemas.openxmlformats.org/officeDocument/2006/relationships/styles" Target="styles.xml"/><Relationship Id="rId21" Type="http://schemas.openxmlformats.org/officeDocument/2006/relationships/hyperlink" Target="mailto:ovcpmt@usdoj.gov" TargetMode="External"/><Relationship Id="rId7" Type="http://schemas.openxmlformats.org/officeDocument/2006/relationships/endnotes" Target="endnotes.xml"/><Relationship Id="rId12" Type="http://schemas.openxmlformats.org/officeDocument/2006/relationships/hyperlink" Target="http://fedgov.dnb.com/" TargetMode="External"/><Relationship Id="rId17" Type="http://schemas.openxmlformats.org/officeDocument/2006/relationships/hyperlink" Target="http://www.ncdps.gov/gccforms" TargetMode="External"/><Relationship Id="rId2" Type="http://schemas.openxmlformats.org/officeDocument/2006/relationships/numbering" Target="numbering.xml"/><Relationship Id="rId16" Type="http://schemas.openxmlformats.org/officeDocument/2006/relationships/hyperlink" Target="https://www.ncdps.gov/gccforms" TargetMode="External"/><Relationship Id="rId20" Type="http://schemas.openxmlformats.org/officeDocument/2006/relationships/hyperlink" Target="https://ovcpmt.ojp.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ren.lombri@ncdps.gov"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gems.ncdps.gov" TargetMode="External"/><Relationship Id="rId23" Type="http://schemas.openxmlformats.org/officeDocument/2006/relationships/fontTable" Target="fontTable.xml"/><Relationship Id="rId10" Type="http://schemas.openxmlformats.org/officeDocument/2006/relationships/hyperlink" Target="mailto:daun.brown@ncdps.gov" TargetMode="External"/><Relationship Id="rId19" Type="http://schemas.openxmlformats.org/officeDocument/2006/relationships/hyperlink" Target="https://www.ovcttac.gov/" TargetMode="External"/><Relationship Id="rId4" Type="http://schemas.openxmlformats.org/officeDocument/2006/relationships/settings" Target="settings.xml"/><Relationship Id="rId9" Type="http://schemas.openxmlformats.org/officeDocument/2006/relationships/hyperlink" Target="mailto:jim.lassiter1@ncdps.gov" TargetMode="External"/><Relationship Id="rId14" Type="http://schemas.openxmlformats.org/officeDocument/2006/relationships/hyperlink" Target="https://ncid.nc.gov"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B084FD-3D92-42C8-AA54-83894D5BD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19</Pages>
  <Words>7764</Words>
  <Characters>44261</Characters>
  <Application>Microsoft Office Word</Application>
  <DocSecurity>4</DocSecurity>
  <Lines>368</Lines>
  <Paragraphs>103</Paragraphs>
  <ScaleCrop>false</ScaleCrop>
  <HeadingPairs>
    <vt:vector size="2" baseType="variant">
      <vt:variant>
        <vt:lpstr>Title</vt:lpstr>
      </vt:variant>
      <vt:variant>
        <vt:i4>1</vt:i4>
      </vt:variant>
    </vt:vector>
  </HeadingPairs>
  <TitlesOfParts>
    <vt:vector size="1" baseType="lpstr">
      <vt:lpstr>Crime victim services faq</vt:lpstr>
    </vt:vector>
  </TitlesOfParts>
  <Company/>
  <LinksUpToDate>false</LinksUpToDate>
  <CharactersWithSpaces>51922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Crime victim services faq</dc:title>
  <dc:subject/>
  <dc:creator>McAllister, Adonicca M</dc:creator>
  <cp:keywords/>
  <dc:description/>
  <cp:lastModifiedBy>Lombri, Karen R</cp:lastModifiedBy>
  <cp:revision>2</cp:revision>
  <cp:lastPrinted>2019-12-05T13:43:00Z</cp:lastPrinted>
  <dcterms:created xsi:type="dcterms:W3CDTF">2020-12-11T19:16:00Z</dcterms:created>
  <dcterms:modified xsi:type="dcterms:W3CDTF">2020-12-11T19:16:00Z</dcterms:modified>
</cp:coreProperties>
</file>